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573" w:rsidRPr="00FE334D" w:rsidRDefault="002A5573" w:rsidP="002A5573">
      <w:pPr>
        <w:tabs>
          <w:tab w:val="left" w:pos="450"/>
          <w:tab w:val="left" w:pos="720"/>
        </w:tabs>
        <w:spacing w:after="240"/>
        <w:ind w:right="864" w:firstLine="1440"/>
        <w:jc w:val="center"/>
        <w:rPr>
          <w:b/>
        </w:rPr>
      </w:pPr>
      <w:bookmarkStart w:id="0" w:name="_Hlk30168792"/>
      <w:r>
        <w:rPr>
          <w:b/>
        </w:rPr>
        <w:t>RESOLUTION</w:t>
      </w:r>
      <w:r w:rsidRPr="00FE334D">
        <w:rPr>
          <w:b/>
        </w:rPr>
        <w:t xml:space="preserve"> </w:t>
      </w:r>
      <w:r>
        <w:rPr>
          <w:b/>
        </w:rPr>
        <w:t>2021-</w:t>
      </w:r>
      <w:r w:rsidR="007F118C">
        <w:rPr>
          <w:b/>
        </w:rPr>
        <w:t>13</w:t>
      </w:r>
    </w:p>
    <w:p w:rsidR="002A5573" w:rsidRPr="00E6109D" w:rsidRDefault="002A5573" w:rsidP="002A5573">
      <w:pPr>
        <w:spacing w:after="240"/>
        <w:ind w:left="1440" w:right="864"/>
        <w:jc w:val="both"/>
        <w:rPr>
          <w:b/>
        </w:rPr>
      </w:pPr>
      <w:r>
        <w:rPr>
          <w:b/>
        </w:rPr>
        <w:t>A RESOLUTION OF T</w:t>
      </w:r>
      <w:r w:rsidRPr="00B35104">
        <w:rPr>
          <w:b/>
        </w:rPr>
        <w:t xml:space="preserve">HE TOWN OF LONGBOAT KEY, FLORIDA, </w:t>
      </w:r>
      <w:r w:rsidR="007F118C">
        <w:rPr>
          <w:b/>
        </w:rPr>
        <w:t>INCREASING THE SARASOTA COUNTY PHASE III LOCAL GOVERNMENT INFRASTRUCTURE SURTAX BUDGET, AMENDING THE PHASE III FUNCTIONAL PROJECT CATEGORIES INCLUDED ON EXHIBIT F IN SARASOTA COUNTY ORDINANCE 2007-087, REALLOCATING THE COMPREHENSIVE BEACH MANAGEMENT AND PARKS AND RECREATION REMAINING FUNDS TO PUBLIC SAFETY AND PUBLIC FACILITIES</w:t>
      </w:r>
      <w:r>
        <w:rPr>
          <w:b/>
        </w:rPr>
        <w:t>;</w:t>
      </w:r>
      <w:r w:rsidRPr="00FE334D">
        <w:rPr>
          <w:b/>
        </w:rPr>
        <w:t xml:space="preserve"> PROVIDING FOR SEVERABILITY; PROVIDING FOR AN EFFECTIVE DATE.</w:t>
      </w:r>
      <w:bookmarkEnd w:id="0"/>
    </w:p>
    <w:p w:rsidR="002A5573" w:rsidRDefault="002A5573" w:rsidP="002A5573">
      <w:pPr>
        <w:tabs>
          <w:tab w:val="left" w:pos="720"/>
        </w:tabs>
        <w:spacing w:after="160"/>
        <w:jc w:val="both"/>
      </w:pPr>
      <w:r>
        <w:rPr>
          <w:b/>
        </w:rPr>
        <w:tab/>
        <w:t>WHEREAS,</w:t>
      </w:r>
      <w:r w:rsidRPr="000923C3">
        <w:t xml:space="preserve"> </w:t>
      </w:r>
      <w:r w:rsidR="00D212A2">
        <w:rPr>
          <w:rFonts w:eastAsia="Calibri" w:cs="Arial"/>
        </w:rPr>
        <w:t>in 1997, Sarasota County enacted Ordinance 97-083 (the “County Ordinance”) which provided for a one percent local government Infrastructure Sales Tax for the construction of infrastructure projects subject to referenda approval</w:t>
      </w:r>
      <w:r>
        <w:t>; and</w:t>
      </w:r>
    </w:p>
    <w:p w:rsidR="002A5573" w:rsidRPr="00E6109D" w:rsidRDefault="002A5573" w:rsidP="002A5573">
      <w:pPr>
        <w:tabs>
          <w:tab w:val="left" w:pos="720"/>
        </w:tabs>
        <w:spacing w:after="160"/>
        <w:jc w:val="both"/>
      </w:pPr>
      <w:r>
        <w:rPr>
          <w:b/>
        </w:rPr>
        <w:tab/>
        <w:t xml:space="preserve">WHEREAS, </w:t>
      </w:r>
      <w:r w:rsidR="00D212A2">
        <w:t>the voters within Sarasota County subsequently approved the Infrastructure Sales Tax (also known as Infrastructure Surtax)</w:t>
      </w:r>
      <w:r>
        <w:t>; and</w:t>
      </w:r>
    </w:p>
    <w:p w:rsidR="002A5573" w:rsidRDefault="002A5573" w:rsidP="002A5573">
      <w:pPr>
        <w:tabs>
          <w:tab w:val="left" w:pos="720"/>
        </w:tabs>
        <w:spacing w:after="160"/>
        <w:jc w:val="both"/>
      </w:pPr>
      <w:r>
        <w:rPr>
          <w:b/>
        </w:rPr>
        <w:tab/>
        <w:t>WHEREAS,</w:t>
      </w:r>
      <w:r w:rsidRPr="002A44B3">
        <w:rPr>
          <w:rFonts w:eastAsia="Calibri" w:cs="Arial"/>
        </w:rPr>
        <w:t xml:space="preserve"> </w:t>
      </w:r>
      <w:r w:rsidR="00D212A2">
        <w:rPr>
          <w:rFonts w:eastAsia="Calibri" w:cs="Arial"/>
        </w:rPr>
        <w:t>pursuant to Section 212.055(2), Florida Statutes, Sarasota County voters approved the extension of Phase II of the Sales Tax be continued commencing September 1, 2009</w:t>
      </w:r>
      <w:r w:rsidR="00A8628D">
        <w:rPr>
          <w:rFonts w:eastAsia="Calibri" w:cs="Arial"/>
        </w:rPr>
        <w:t>,</w:t>
      </w:r>
      <w:bookmarkStart w:id="1" w:name="_GoBack"/>
      <w:bookmarkEnd w:id="1"/>
      <w:r w:rsidR="00D212A2">
        <w:rPr>
          <w:rFonts w:eastAsia="Calibri" w:cs="Arial"/>
        </w:rPr>
        <w:t xml:space="preserve"> through December 31, 2024, with the extension known as Phase III</w:t>
      </w:r>
      <w:r>
        <w:t>; and</w:t>
      </w:r>
    </w:p>
    <w:p w:rsidR="002A5573" w:rsidRDefault="002A5573" w:rsidP="002A5573">
      <w:pPr>
        <w:tabs>
          <w:tab w:val="left" w:pos="720"/>
        </w:tabs>
        <w:spacing w:after="160"/>
        <w:jc w:val="both"/>
      </w:pPr>
      <w:r>
        <w:rPr>
          <w:b/>
        </w:rPr>
        <w:tab/>
        <w:t>WHEREAS,</w:t>
      </w:r>
      <w:r w:rsidRPr="002A44B3">
        <w:rPr>
          <w:rFonts w:eastAsia="Calibri" w:cs="Arial"/>
        </w:rPr>
        <w:t xml:space="preserve"> </w:t>
      </w:r>
      <w:r w:rsidR="00D212A2" w:rsidRPr="00D212A2">
        <w:rPr>
          <w:rFonts w:eastAsia="Calibri" w:cs="Arial"/>
        </w:rPr>
        <w:t>at the request of Sarasota County, the Town of Longboat Key provided the County with a list of areas to be funded with the anticipated Infrastructure Surtax revenue, as well as Project Titles, and probable amounts to be allocated to each as reflected in Exhibit “F” of the County Ordinance; and</w:t>
      </w:r>
    </w:p>
    <w:p w:rsidR="002A5573" w:rsidRPr="00E6109D" w:rsidRDefault="002A5573" w:rsidP="002A5573">
      <w:pPr>
        <w:tabs>
          <w:tab w:val="left" w:pos="720"/>
        </w:tabs>
        <w:spacing w:after="160"/>
        <w:jc w:val="both"/>
      </w:pPr>
      <w:r>
        <w:rPr>
          <w:b/>
        </w:rPr>
        <w:tab/>
        <w:t>WHEREAS,</w:t>
      </w:r>
      <w:r w:rsidRPr="002A44B3">
        <w:rPr>
          <w:rFonts w:eastAsia="Calibri" w:cs="Arial"/>
        </w:rPr>
        <w:t xml:space="preserve"> </w:t>
      </w:r>
      <w:r w:rsidR="00D212A2" w:rsidRPr="00D212A2">
        <w:rPr>
          <w:rFonts w:eastAsia="Calibri" w:cs="Arial"/>
        </w:rPr>
        <w:t>in accordance with Sarasota County Ordinance 2007-087, Section 5.H., each Local Governing Body shall have the authority, after a public hearing, to designate changes to the infrastructure projects to be funded and to reallocate its share of the sales tax</w:t>
      </w:r>
      <w:r w:rsidRPr="007B2AE7">
        <w:t>; and</w:t>
      </w:r>
    </w:p>
    <w:p w:rsidR="00536DFF" w:rsidRDefault="002A5573" w:rsidP="002A5573">
      <w:pPr>
        <w:tabs>
          <w:tab w:val="left" w:pos="720"/>
        </w:tabs>
        <w:spacing w:after="160"/>
        <w:jc w:val="both"/>
        <w:rPr>
          <w:b/>
        </w:rPr>
      </w:pPr>
      <w:r>
        <w:rPr>
          <w:b/>
        </w:rPr>
        <w:tab/>
      </w:r>
      <w:r w:rsidR="00536DFF">
        <w:rPr>
          <w:b/>
        </w:rPr>
        <w:t xml:space="preserve">WHEREAS, </w:t>
      </w:r>
      <w:r w:rsidR="00536DFF">
        <w:t xml:space="preserve">the Town has previously made changes to Exhibit </w:t>
      </w:r>
      <w:r w:rsidR="0040370A">
        <w:t>“</w:t>
      </w:r>
      <w:r w:rsidR="00536DFF">
        <w:t>F</w:t>
      </w:r>
      <w:r w:rsidR="00163FA7">
        <w:t>”</w:t>
      </w:r>
      <w:r w:rsidR="00536DFF">
        <w:t xml:space="preserve"> through the adoption of Resolution </w:t>
      </w:r>
      <w:r w:rsidR="009C2AD2">
        <w:t xml:space="preserve">2012-13, Resolution </w:t>
      </w:r>
      <w:r w:rsidR="00536DFF">
        <w:t>2013-31, Resolution 2014-21, Resolution 2016-17, and Resolution 2018-20; and</w:t>
      </w:r>
      <w:r w:rsidR="00536DFF">
        <w:rPr>
          <w:b/>
        </w:rPr>
        <w:t xml:space="preserve"> </w:t>
      </w:r>
    </w:p>
    <w:p w:rsidR="0040370A" w:rsidRDefault="00536DFF" w:rsidP="002A5573">
      <w:pPr>
        <w:tabs>
          <w:tab w:val="left" w:pos="720"/>
        </w:tabs>
        <w:spacing w:after="160"/>
        <w:jc w:val="both"/>
        <w:rPr>
          <w:b/>
        </w:rPr>
      </w:pPr>
      <w:r>
        <w:rPr>
          <w:b/>
        </w:rPr>
        <w:tab/>
      </w:r>
      <w:r w:rsidR="0040370A">
        <w:rPr>
          <w:b/>
        </w:rPr>
        <w:t>WHEREAS,</w:t>
      </w:r>
      <w:r w:rsidR="0040370A" w:rsidRPr="002A44B3">
        <w:rPr>
          <w:rFonts w:eastAsia="Calibri" w:cs="Arial"/>
        </w:rPr>
        <w:t xml:space="preserve"> </w:t>
      </w:r>
      <w:r w:rsidR="0040370A">
        <w:rPr>
          <w:rFonts w:eastAsia="Calibri" w:cs="Arial"/>
        </w:rPr>
        <w:t>the requested capital projects for Public Safety and Public Facility Improvements exceed the revenue sources available as provided for in the Capital Improvement Plan FY22 through FY26</w:t>
      </w:r>
      <w:r w:rsidR="0040370A" w:rsidRPr="007B2AE7">
        <w:t>; and</w:t>
      </w:r>
      <w:r w:rsidR="0040370A">
        <w:rPr>
          <w:b/>
        </w:rPr>
        <w:t xml:space="preserve"> </w:t>
      </w:r>
    </w:p>
    <w:p w:rsidR="00536DFF" w:rsidRDefault="0040370A" w:rsidP="002A5573">
      <w:pPr>
        <w:tabs>
          <w:tab w:val="left" w:pos="720"/>
        </w:tabs>
        <w:spacing w:after="160"/>
        <w:jc w:val="both"/>
      </w:pPr>
      <w:r>
        <w:rPr>
          <w:b/>
        </w:rPr>
        <w:tab/>
      </w:r>
      <w:r w:rsidR="00536DFF">
        <w:rPr>
          <w:b/>
        </w:rPr>
        <w:t>WHEREAS,</w:t>
      </w:r>
      <w:r w:rsidR="00536DFF" w:rsidRPr="002A44B3">
        <w:rPr>
          <w:rFonts w:eastAsia="Calibri" w:cs="Arial"/>
        </w:rPr>
        <w:t xml:space="preserve"> </w:t>
      </w:r>
      <w:r w:rsidR="00536DFF">
        <w:rPr>
          <w:rFonts w:eastAsia="Calibri" w:cs="Arial"/>
        </w:rPr>
        <w:t>a revised projection of revenue through the end of December 31, 2024</w:t>
      </w:r>
      <w:r w:rsidR="00176658">
        <w:rPr>
          <w:rFonts w:eastAsia="Calibri" w:cs="Arial"/>
        </w:rPr>
        <w:t>,</w:t>
      </w:r>
      <w:r w:rsidR="00536DFF">
        <w:rPr>
          <w:rFonts w:eastAsia="Calibri" w:cs="Arial"/>
        </w:rPr>
        <w:t xml:space="preserve"> including accumulated investment income and other revenue sources will provide additional income </w:t>
      </w:r>
      <w:r>
        <w:rPr>
          <w:rFonts w:eastAsia="Calibri" w:cs="Arial"/>
        </w:rPr>
        <w:t xml:space="preserve">to the Infrastructure Surtax III Fund, </w:t>
      </w:r>
      <w:r w:rsidR="00536DFF">
        <w:rPr>
          <w:rFonts w:eastAsia="Calibri" w:cs="Arial"/>
        </w:rPr>
        <w:t>estimated at $367,131</w:t>
      </w:r>
      <w:r w:rsidR="00536DFF" w:rsidRPr="007B2AE7">
        <w:t>; and</w:t>
      </w:r>
    </w:p>
    <w:p w:rsidR="002A5573" w:rsidRDefault="0040370A" w:rsidP="002A5573">
      <w:pPr>
        <w:tabs>
          <w:tab w:val="left" w:pos="720"/>
        </w:tabs>
        <w:spacing w:after="160"/>
        <w:jc w:val="both"/>
      </w:pPr>
      <w:r>
        <w:rPr>
          <w:b/>
        </w:rPr>
        <w:tab/>
      </w:r>
      <w:r w:rsidR="002A5573">
        <w:rPr>
          <w:b/>
        </w:rPr>
        <w:t xml:space="preserve">WHEREAS, </w:t>
      </w:r>
      <w:bookmarkStart w:id="2" w:name="_Hlk72498733"/>
      <w:r w:rsidR="005606F4" w:rsidRPr="005606F4">
        <w:t>the Town Commission wishes to amend Exhibit “F” - “Functional Area” Comprehensive Beach Management, decreasing “Longboat Key Beach Nourishment Project and Erosion Control Structures” from $</w:t>
      </w:r>
      <w:r w:rsidR="003F6A02">
        <w:t>1,015,569</w:t>
      </w:r>
      <w:r w:rsidR="005606F4" w:rsidRPr="005606F4">
        <w:t xml:space="preserve"> to $</w:t>
      </w:r>
      <w:r w:rsidR="003F6A02">
        <w:t>300,000</w:t>
      </w:r>
      <w:r w:rsidR="005606F4" w:rsidRPr="005606F4">
        <w:t>, a reduction of $</w:t>
      </w:r>
      <w:r w:rsidR="003F6A02">
        <w:t>715,569</w:t>
      </w:r>
      <w:r w:rsidR="005606F4" w:rsidRPr="005606F4">
        <w:t xml:space="preserve">; </w:t>
      </w:r>
      <w:r w:rsidR="002A5573">
        <w:t>and</w:t>
      </w:r>
      <w:bookmarkEnd w:id="2"/>
    </w:p>
    <w:p w:rsidR="002A5573" w:rsidRDefault="002A5573" w:rsidP="002A5573">
      <w:pPr>
        <w:tabs>
          <w:tab w:val="left" w:pos="720"/>
        </w:tabs>
        <w:spacing w:after="160"/>
        <w:jc w:val="both"/>
      </w:pPr>
      <w:r>
        <w:rPr>
          <w:b/>
        </w:rPr>
        <w:lastRenderedPageBreak/>
        <w:tab/>
        <w:t xml:space="preserve">WHEREAS, </w:t>
      </w:r>
      <w:r w:rsidR="003F6A02" w:rsidRPr="003F6A02">
        <w:t xml:space="preserve">the Town Commission wishes to amend Exhibit “F” - “Functional Area” for </w:t>
      </w:r>
      <w:r w:rsidR="003F6A02">
        <w:t>Parks and Recreation Improvements</w:t>
      </w:r>
      <w:r w:rsidR="003F6A02" w:rsidRPr="003F6A02">
        <w:t>, decreasing “</w:t>
      </w:r>
      <w:r w:rsidR="003F6A02">
        <w:t xml:space="preserve">Park and Recreation Improvements” </w:t>
      </w:r>
      <w:r w:rsidR="003F6A02" w:rsidRPr="003F6A02">
        <w:t>from $</w:t>
      </w:r>
      <w:r w:rsidR="003F6A02">
        <w:t>2,922,000</w:t>
      </w:r>
      <w:r w:rsidR="003F6A02" w:rsidRPr="003F6A02">
        <w:t xml:space="preserve"> to $</w:t>
      </w:r>
      <w:r w:rsidR="006C7373">
        <w:t>2,202</w:t>
      </w:r>
      <w:r w:rsidR="003F6A02">
        <w:t>,494</w:t>
      </w:r>
      <w:r w:rsidR="003F6A02" w:rsidRPr="003F6A02">
        <w:t>, a reduction of $</w:t>
      </w:r>
      <w:r w:rsidR="006C7373">
        <w:t>719,506</w:t>
      </w:r>
      <w:r w:rsidR="003F6A02" w:rsidRPr="003F6A02">
        <w:t>; and</w:t>
      </w:r>
    </w:p>
    <w:p w:rsidR="002A5573" w:rsidRPr="00E6109D" w:rsidRDefault="002A5573" w:rsidP="002A5573">
      <w:pPr>
        <w:tabs>
          <w:tab w:val="left" w:pos="720"/>
        </w:tabs>
        <w:spacing w:after="160"/>
        <w:jc w:val="both"/>
      </w:pPr>
      <w:r>
        <w:rPr>
          <w:b/>
          <w:bCs/>
        </w:rPr>
        <w:tab/>
        <w:t>WHEREAS,</w:t>
      </w:r>
      <w:r>
        <w:rPr>
          <w:bCs/>
        </w:rPr>
        <w:t xml:space="preserve"> </w:t>
      </w:r>
      <w:r w:rsidR="003F6A02" w:rsidRPr="003F6A02">
        <w:t xml:space="preserve">the Town Commission wishes to amend Exhibit “F” - “Functional Area” for </w:t>
      </w:r>
      <w:r w:rsidR="003F6A02">
        <w:t>Public Safety</w:t>
      </w:r>
      <w:r w:rsidR="003F6A02" w:rsidRPr="003F6A02">
        <w:t xml:space="preserve">, </w:t>
      </w:r>
      <w:r w:rsidR="003F6A02">
        <w:t xml:space="preserve">increasing </w:t>
      </w:r>
      <w:r w:rsidR="003F6A02" w:rsidRPr="003F6A02">
        <w:t>“</w:t>
      </w:r>
      <w:r w:rsidR="003F6A02">
        <w:t>Fire and Police Vehicles and Equipment</w:t>
      </w:r>
      <w:r w:rsidR="003F6A02" w:rsidRPr="003F6A02">
        <w:t>” from $</w:t>
      </w:r>
      <w:r w:rsidR="003F6A02">
        <w:t xml:space="preserve">3,803,168 </w:t>
      </w:r>
      <w:r w:rsidR="003F6A02" w:rsidRPr="003F6A02">
        <w:t>to $</w:t>
      </w:r>
      <w:r w:rsidR="006C7373">
        <w:t>5,366,773</w:t>
      </w:r>
      <w:r w:rsidR="003F6A02" w:rsidRPr="003F6A02">
        <w:t>, a</w:t>
      </w:r>
      <w:r w:rsidR="003F6A02">
        <w:t>n increase</w:t>
      </w:r>
      <w:r w:rsidR="003F6A02" w:rsidRPr="003F6A02">
        <w:t xml:space="preserve"> of $</w:t>
      </w:r>
      <w:r w:rsidR="003F6A02">
        <w:t>1,</w:t>
      </w:r>
      <w:r w:rsidR="006C7373">
        <w:t>563</w:t>
      </w:r>
      <w:r w:rsidR="003F6A02">
        <w:t>,605</w:t>
      </w:r>
      <w:r w:rsidR="003F6A02" w:rsidRPr="003F6A02">
        <w:t>; and</w:t>
      </w:r>
    </w:p>
    <w:p w:rsidR="002A5573" w:rsidRDefault="002A5573" w:rsidP="002A5573">
      <w:pPr>
        <w:tabs>
          <w:tab w:val="left" w:pos="720"/>
        </w:tabs>
        <w:spacing w:after="160"/>
        <w:jc w:val="both"/>
      </w:pPr>
      <w:r>
        <w:rPr>
          <w:b/>
          <w:bCs/>
        </w:rPr>
        <w:tab/>
        <w:t>WHEREAS,</w:t>
      </w:r>
      <w:r>
        <w:rPr>
          <w:bCs/>
        </w:rPr>
        <w:t xml:space="preserve"> </w:t>
      </w:r>
      <w:r w:rsidR="003F6A02" w:rsidRPr="003F6A02">
        <w:rPr>
          <w:bCs/>
        </w:rPr>
        <w:t xml:space="preserve">the Town Commission wishes to amend Exhibit “F” - “Functional Area” for </w:t>
      </w:r>
      <w:r w:rsidR="003F6A02">
        <w:rPr>
          <w:bCs/>
        </w:rPr>
        <w:t>Improvements to Public Facilities</w:t>
      </w:r>
      <w:r w:rsidR="003F6A02" w:rsidRPr="003F6A02">
        <w:rPr>
          <w:bCs/>
        </w:rPr>
        <w:t>, increasing “</w:t>
      </w:r>
      <w:r w:rsidR="003F6A02">
        <w:rPr>
          <w:bCs/>
        </w:rPr>
        <w:t>Facilities Maintenance</w:t>
      </w:r>
      <w:r w:rsidR="003F6A02" w:rsidRPr="003F6A02">
        <w:rPr>
          <w:bCs/>
        </w:rPr>
        <w:t>” from $</w:t>
      </w:r>
      <w:r w:rsidR="003F6A02">
        <w:rPr>
          <w:bCs/>
        </w:rPr>
        <w:t>922,000</w:t>
      </w:r>
      <w:r w:rsidR="003F6A02" w:rsidRPr="003F6A02">
        <w:rPr>
          <w:bCs/>
        </w:rPr>
        <w:t xml:space="preserve"> to $</w:t>
      </w:r>
      <w:r w:rsidR="003F6A02">
        <w:rPr>
          <w:bCs/>
        </w:rPr>
        <w:t>1,160,601</w:t>
      </w:r>
      <w:r w:rsidR="003F6A02" w:rsidRPr="003F6A02">
        <w:rPr>
          <w:bCs/>
        </w:rPr>
        <w:t>, an increase of $</w:t>
      </w:r>
      <w:r w:rsidR="003F6A02">
        <w:rPr>
          <w:bCs/>
        </w:rPr>
        <w:t>238,601</w:t>
      </w:r>
      <w:r w:rsidR="00C57AA4">
        <w:rPr>
          <w:bCs/>
        </w:rPr>
        <w:t>.</w:t>
      </w:r>
    </w:p>
    <w:p w:rsidR="002A5573" w:rsidRPr="008C4258" w:rsidRDefault="002A5573" w:rsidP="00536DFF">
      <w:pPr>
        <w:tabs>
          <w:tab w:val="left" w:pos="720"/>
        </w:tabs>
        <w:spacing w:after="160"/>
        <w:jc w:val="both"/>
        <w:rPr>
          <w:rFonts w:cs="Arial"/>
        </w:rPr>
      </w:pPr>
      <w:r>
        <w:tab/>
      </w:r>
      <w:r w:rsidR="00536DFF" w:rsidRPr="00536DFF">
        <w:rPr>
          <w:rFonts w:cs="Arial"/>
          <w:b/>
        </w:rPr>
        <w:t>NOW, THEREFORE, BE IT RESOLVED BY THE TOWN COMMISSION OF THE TOWN OF LONGBOAT KEY, FLORIDA, THAT</w:t>
      </w:r>
      <w:r w:rsidRPr="008C4258">
        <w:rPr>
          <w:rFonts w:cs="Arial"/>
        </w:rPr>
        <w:t>:</w:t>
      </w:r>
    </w:p>
    <w:p w:rsidR="002A5573" w:rsidRDefault="002A5573" w:rsidP="002A5573">
      <w:pPr>
        <w:widowControl w:val="0"/>
        <w:tabs>
          <w:tab w:val="left" w:pos="720"/>
          <w:tab w:val="left" w:pos="1440"/>
          <w:tab w:val="left" w:pos="2250"/>
          <w:tab w:val="left" w:pos="2430"/>
          <w:tab w:val="left" w:pos="3168"/>
          <w:tab w:val="center" w:pos="4752"/>
          <w:tab w:val="left" w:pos="6192"/>
        </w:tabs>
        <w:spacing w:after="240" w:line="240" w:lineRule="atLeast"/>
        <w:jc w:val="both"/>
      </w:pPr>
      <w:r>
        <w:tab/>
      </w:r>
      <w:r w:rsidRPr="0015020A">
        <w:t>SECTION 1.</w:t>
      </w:r>
      <w:r>
        <w:tab/>
        <w:t>The above Whereas clauses are true and correct and are hereby ratified, confirmed and fully incorporated by reference.</w:t>
      </w:r>
    </w:p>
    <w:p w:rsidR="002A5573" w:rsidRDefault="002A5573" w:rsidP="001329B5">
      <w:pPr>
        <w:tabs>
          <w:tab w:val="left" w:pos="2250"/>
          <w:tab w:val="left" w:pos="2520"/>
        </w:tabs>
        <w:spacing w:after="160"/>
        <w:ind w:firstLine="720"/>
        <w:jc w:val="both"/>
      </w:pPr>
      <w:r w:rsidRPr="0015020A">
        <w:t>SECTION 2.</w:t>
      </w:r>
      <w:r>
        <w:tab/>
      </w:r>
      <w:r w:rsidR="00536DFF">
        <w:t>The Town Commission hereby amends Exhibit “F” of the Phase III Infrastructure Surtax program by increasing the funding allocation for the Functional Area of Public Safety by $</w:t>
      </w:r>
      <w:r w:rsidR="006C7373">
        <w:t>1,563</w:t>
      </w:r>
      <w:r w:rsidR="00536DFF">
        <w:t xml:space="preserve">,605, </w:t>
      </w:r>
      <w:r w:rsidR="001329B5">
        <w:t xml:space="preserve">increasing </w:t>
      </w:r>
      <w:r w:rsidR="00536DFF">
        <w:t xml:space="preserve">the Functional Area of </w:t>
      </w:r>
      <w:r w:rsidR="001329B5">
        <w:t>Improvements to Public Facilities</w:t>
      </w:r>
      <w:r w:rsidR="00536DFF">
        <w:t xml:space="preserve"> by $</w:t>
      </w:r>
      <w:r w:rsidR="001329B5">
        <w:t xml:space="preserve">238,601, decreasing the </w:t>
      </w:r>
      <w:r w:rsidR="00536DFF">
        <w:t xml:space="preserve">Functional Area of </w:t>
      </w:r>
      <w:r w:rsidR="001329B5">
        <w:t>Comprehensive Beach Management</w:t>
      </w:r>
      <w:r w:rsidR="00536DFF">
        <w:t xml:space="preserve"> by $</w:t>
      </w:r>
      <w:r w:rsidR="001329B5">
        <w:t xml:space="preserve">715,569, and decreasing the </w:t>
      </w:r>
      <w:r w:rsidR="00536DFF">
        <w:t xml:space="preserve">Functional Area of </w:t>
      </w:r>
      <w:r w:rsidR="001329B5">
        <w:t>Parks and Recreation Improvements</w:t>
      </w:r>
      <w:r w:rsidR="00536DFF">
        <w:t xml:space="preserve"> by $</w:t>
      </w:r>
      <w:r w:rsidR="006C7373">
        <w:t>719</w:t>
      </w:r>
      <w:r w:rsidR="001329B5">
        <w:t>,506.</w:t>
      </w:r>
    </w:p>
    <w:p w:rsidR="002A5573" w:rsidRPr="00E6109D" w:rsidRDefault="002A5573" w:rsidP="002A5573">
      <w:pPr>
        <w:pStyle w:val="BodyText"/>
        <w:tabs>
          <w:tab w:val="left" w:pos="720"/>
          <w:tab w:val="left" w:pos="2250"/>
          <w:tab w:val="right" w:pos="8640"/>
        </w:tabs>
        <w:jc w:val="both"/>
      </w:pPr>
      <w:r>
        <w:tab/>
      </w:r>
      <w:r w:rsidRPr="002E6C20">
        <w:rPr>
          <w:spacing w:val="-3"/>
        </w:rPr>
        <w:t xml:space="preserve">SECTION </w:t>
      </w:r>
      <w:r w:rsidR="001329B5">
        <w:rPr>
          <w:spacing w:val="-3"/>
        </w:rPr>
        <w:t>3</w:t>
      </w:r>
      <w:r w:rsidRPr="002E6C20">
        <w:rPr>
          <w:spacing w:val="-3"/>
        </w:rPr>
        <w:t>.</w:t>
      </w:r>
      <w:r w:rsidRPr="002E6C20">
        <w:rPr>
          <w:spacing w:val="-3"/>
        </w:rPr>
        <w:tab/>
      </w:r>
      <w:r>
        <w:rPr>
          <w:spacing w:val="-3"/>
        </w:rPr>
        <w:tab/>
      </w:r>
      <w:r w:rsidRPr="002E6C20">
        <w:rPr>
          <w:spacing w:val="-3"/>
        </w:rPr>
        <w:t>If</w:t>
      </w:r>
      <w:r>
        <w:rPr>
          <w:spacing w:val="-3"/>
        </w:rPr>
        <w:t xml:space="preserve"> any section, subsection, sentence, clause, or provision of this Resolution is held invalid, the remainder of the Resolution shall not be affected.</w:t>
      </w:r>
    </w:p>
    <w:p w:rsidR="002A5573" w:rsidRDefault="002A5573" w:rsidP="002A5573">
      <w:pPr>
        <w:pStyle w:val="BodyText"/>
        <w:tabs>
          <w:tab w:val="left" w:pos="720"/>
          <w:tab w:val="left" w:pos="2160"/>
          <w:tab w:val="right" w:pos="8640"/>
        </w:tabs>
        <w:spacing w:after="240"/>
        <w:ind w:left="720"/>
      </w:pPr>
      <w:r w:rsidRPr="00F70F87">
        <w:rPr>
          <w:spacing w:val="-3"/>
        </w:rPr>
        <w:t xml:space="preserve">SECTION </w:t>
      </w:r>
      <w:r w:rsidR="001329B5">
        <w:rPr>
          <w:spacing w:val="-3"/>
        </w:rPr>
        <w:t>4</w:t>
      </w:r>
      <w:r w:rsidRPr="00F70F87">
        <w:rPr>
          <w:spacing w:val="-3"/>
        </w:rPr>
        <w:t>.</w:t>
      </w:r>
      <w:r>
        <w:rPr>
          <w:spacing w:val="-3"/>
        </w:rPr>
        <w:tab/>
      </w:r>
      <w:r>
        <w:rPr>
          <w:spacing w:val="-3"/>
        </w:rPr>
        <w:tab/>
        <w:t>This Resolution shall become effective immediately upon adoption.</w:t>
      </w:r>
    </w:p>
    <w:p w:rsidR="002A5573" w:rsidRDefault="002A5573" w:rsidP="002A5573">
      <w:pPr>
        <w:tabs>
          <w:tab w:val="left" w:pos="720"/>
          <w:tab w:val="left" w:pos="2400"/>
        </w:tabs>
        <w:spacing w:after="600"/>
        <w:ind w:firstLine="720"/>
        <w:jc w:val="both"/>
        <w:rPr>
          <w:spacing w:val="-3"/>
        </w:rPr>
      </w:pPr>
      <w:r>
        <w:rPr>
          <w:spacing w:val="-3"/>
        </w:rPr>
        <w:t>Passed, following public hearing, by the Town Commission of the Town of Longboat Key, Florida</w:t>
      </w:r>
      <w:r w:rsidR="00176658">
        <w:rPr>
          <w:spacing w:val="-3"/>
        </w:rPr>
        <w:t>,</w:t>
      </w:r>
      <w:r>
        <w:rPr>
          <w:spacing w:val="-3"/>
        </w:rPr>
        <w:t xml:space="preserve"> on the </w:t>
      </w:r>
      <w:r w:rsidR="001329B5">
        <w:rPr>
          <w:spacing w:val="-3"/>
        </w:rPr>
        <w:t>2nd</w:t>
      </w:r>
      <w:r>
        <w:rPr>
          <w:spacing w:val="-3"/>
        </w:rPr>
        <w:t xml:space="preserve"> day of </w:t>
      </w:r>
      <w:r w:rsidR="001329B5">
        <w:rPr>
          <w:spacing w:val="-3"/>
        </w:rPr>
        <w:t>July</w:t>
      </w:r>
      <w:r>
        <w:rPr>
          <w:spacing w:val="-3"/>
        </w:rPr>
        <w:t>, 2021.</w:t>
      </w:r>
    </w:p>
    <w:p w:rsidR="002A5573" w:rsidRDefault="002A5573" w:rsidP="002A5573">
      <w:pPr>
        <w:ind w:left="5760"/>
      </w:pPr>
      <w:r>
        <w:t>__________________________</w:t>
      </w:r>
    </w:p>
    <w:p w:rsidR="002A5573" w:rsidRDefault="002A5573" w:rsidP="002A5573">
      <w:pPr>
        <w:ind w:left="5760"/>
      </w:pPr>
      <w:r>
        <w:t>Kenneth Schneier, Mayor</w:t>
      </w:r>
    </w:p>
    <w:p w:rsidR="002A5573" w:rsidRDefault="002A5573" w:rsidP="002A5573">
      <w:pPr>
        <w:spacing w:after="360"/>
      </w:pPr>
      <w:r>
        <w:t>ATTEST:</w:t>
      </w:r>
    </w:p>
    <w:p w:rsidR="002A5573" w:rsidRDefault="002A5573" w:rsidP="002A5573">
      <w:pPr>
        <w:ind w:left="1440" w:hanging="1440"/>
        <w:jc w:val="both"/>
      </w:pPr>
      <w:r>
        <w:t>________________________</w:t>
      </w:r>
    </w:p>
    <w:p w:rsidR="002A5573" w:rsidRDefault="002A5573" w:rsidP="002A5573">
      <w:pPr>
        <w:ind w:left="-720" w:firstLine="720"/>
      </w:pPr>
      <w:r>
        <w:t>Trish Shinkle, Town Clerk</w:t>
      </w:r>
    </w:p>
    <w:p w:rsidR="0030026F" w:rsidRDefault="0030026F" w:rsidP="00C04EC0">
      <w:pPr>
        <w:spacing w:after="720"/>
      </w:pPr>
    </w:p>
    <w:p w:rsidR="00CE6104" w:rsidRDefault="00CE6104" w:rsidP="00CE6104">
      <w:pPr>
        <w:spacing w:after="720"/>
      </w:pPr>
      <w:r>
        <w:t>Exhibit A – Exhibit “F” of Sarasota County Ordinance 2007-087</w:t>
      </w:r>
    </w:p>
    <w:p w:rsidR="00CE6104" w:rsidRDefault="00CE6104">
      <w:pPr>
        <w:spacing w:after="160" w:line="259" w:lineRule="auto"/>
      </w:pPr>
      <w:r>
        <w:br w:type="page"/>
      </w:r>
    </w:p>
    <w:p w:rsidR="00CE6104" w:rsidRDefault="00CE6104" w:rsidP="00CE6104">
      <w:pPr>
        <w:spacing w:after="720"/>
        <w:sectPr w:rsidR="00CE6104" w:rsidSect="006110F0">
          <w:headerReference w:type="even" r:id="rId6"/>
          <w:headerReference w:type="default" r:id="rId7"/>
          <w:footerReference w:type="even" r:id="rId8"/>
          <w:footerReference w:type="default" r:id="rId9"/>
          <w:headerReference w:type="first" r:id="rId10"/>
          <w:footerReference w:type="first" r:id="rId11"/>
          <w:pgSz w:w="12240" w:h="15840"/>
          <w:pgMar w:top="1296" w:right="1296" w:bottom="1080" w:left="1440" w:header="720" w:footer="720" w:gutter="0"/>
          <w:paperSrc w:first="7" w:other="7"/>
          <w:pgNumType w:start="1"/>
          <w:cols w:space="720"/>
          <w:titlePg/>
          <w:docGrid w:linePitch="326"/>
        </w:sectPr>
      </w:pPr>
    </w:p>
    <w:tbl>
      <w:tblPr>
        <w:tblW w:w="11468" w:type="dxa"/>
        <w:tblInd w:w="-995" w:type="dxa"/>
        <w:tblLayout w:type="fixed"/>
        <w:tblLook w:val="04A0" w:firstRow="1" w:lastRow="0" w:firstColumn="1" w:lastColumn="0" w:noHBand="0" w:noVBand="1"/>
      </w:tblPr>
      <w:tblGrid>
        <w:gridCol w:w="2610"/>
        <w:gridCol w:w="3690"/>
        <w:gridCol w:w="1440"/>
        <w:gridCol w:w="1350"/>
        <w:gridCol w:w="2378"/>
      </w:tblGrid>
      <w:tr w:rsidR="00CE6104" w:rsidRPr="00CE6104" w:rsidTr="00CE6104">
        <w:trPr>
          <w:trHeight w:val="1080"/>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6104" w:rsidRPr="00CE6104" w:rsidRDefault="00CE6104" w:rsidP="00CE6104">
            <w:pPr>
              <w:ind w:left="72"/>
              <w:jc w:val="center"/>
              <w:rPr>
                <w:rFonts w:eastAsia="Calibri" w:cs="Arial"/>
                <w:b/>
                <w:bCs/>
                <w:sz w:val="22"/>
                <w:szCs w:val="22"/>
              </w:rPr>
            </w:pPr>
            <w:r w:rsidRPr="00CE6104">
              <w:rPr>
                <w:rFonts w:eastAsia="Calibri" w:cs="Arial"/>
                <w:b/>
                <w:bCs/>
                <w:sz w:val="22"/>
                <w:szCs w:val="22"/>
              </w:rPr>
              <w:lastRenderedPageBreak/>
              <w:t>CATEGORIES</w:t>
            </w:r>
          </w:p>
        </w:tc>
        <w:tc>
          <w:tcPr>
            <w:tcW w:w="3690" w:type="dxa"/>
            <w:tcBorders>
              <w:top w:val="single" w:sz="4" w:space="0" w:color="000000"/>
              <w:left w:val="nil"/>
              <w:bottom w:val="single" w:sz="4" w:space="0" w:color="000000"/>
              <w:right w:val="single" w:sz="4" w:space="0" w:color="000000"/>
            </w:tcBorders>
            <w:shd w:val="clear" w:color="auto" w:fill="auto"/>
            <w:vAlign w:val="center"/>
            <w:hideMark/>
          </w:tcPr>
          <w:p w:rsidR="00CE6104" w:rsidRPr="00CE6104" w:rsidRDefault="00CE6104" w:rsidP="00CE6104">
            <w:pPr>
              <w:jc w:val="center"/>
              <w:rPr>
                <w:rFonts w:eastAsia="Calibri" w:cs="Arial"/>
                <w:b/>
                <w:bCs/>
                <w:sz w:val="22"/>
                <w:szCs w:val="22"/>
              </w:rPr>
            </w:pPr>
            <w:r w:rsidRPr="00CE6104">
              <w:rPr>
                <w:rFonts w:eastAsia="Calibri" w:cs="Arial"/>
                <w:b/>
                <w:bCs/>
                <w:sz w:val="22"/>
                <w:szCs w:val="22"/>
              </w:rPr>
              <w:t>PROJECT TITLE</w:t>
            </w:r>
          </w:p>
        </w:tc>
        <w:tc>
          <w:tcPr>
            <w:tcW w:w="1440" w:type="dxa"/>
            <w:tcBorders>
              <w:top w:val="single" w:sz="4" w:space="0" w:color="000000"/>
              <w:left w:val="nil"/>
              <w:bottom w:val="single" w:sz="4" w:space="0" w:color="000000"/>
              <w:right w:val="single" w:sz="4" w:space="0" w:color="000000"/>
            </w:tcBorders>
            <w:shd w:val="clear" w:color="000000" w:fill="FFC000"/>
            <w:vAlign w:val="center"/>
            <w:hideMark/>
          </w:tcPr>
          <w:p w:rsidR="00CE6104" w:rsidRPr="00CE6104" w:rsidRDefault="004D05B1" w:rsidP="00CE6104">
            <w:pPr>
              <w:jc w:val="center"/>
              <w:rPr>
                <w:rFonts w:eastAsia="Calibri" w:cs="Arial"/>
                <w:b/>
                <w:bCs/>
                <w:sz w:val="22"/>
                <w:szCs w:val="22"/>
              </w:rPr>
            </w:pPr>
            <w:r>
              <w:rPr>
                <w:rFonts w:eastAsia="Calibri" w:cs="Arial"/>
                <w:b/>
                <w:bCs/>
                <w:sz w:val="22"/>
                <w:szCs w:val="22"/>
              </w:rPr>
              <w:t xml:space="preserve">CURRENT </w:t>
            </w:r>
            <w:r w:rsidR="00CE6104" w:rsidRPr="00CE6104">
              <w:rPr>
                <w:rFonts w:eastAsia="Calibri" w:cs="Arial"/>
                <w:b/>
                <w:bCs/>
                <w:sz w:val="22"/>
                <w:szCs w:val="22"/>
              </w:rPr>
              <w:t xml:space="preserve">SURTAX FUNDING </w:t>
            </w:r>
          </w:p>
        </w:tc>
        <w:tc>
          <w:tcPr>
            <w:tcW w:w="1350" w:type="dxa"/>
            <w:tcBorders>
              <w:top w:val="single" w:sz="4" w:space="0" w:color="000000"/>
              <w:left w:val="nil"/>
              <w:bottom w:val="single" w:sz="4" w:space="0" w:color="000000"/>
              <w:right w:val="single" w:sz="4" w:space="0" w:color="000000"/>
            </w:tcBorders>
            <w:shd w:val="clear" w:color="000000" w:fill="FFFF00"/>
            <w:vAlign w:val="center"/>
            <w:hideMark/>
          </w:tcPr>
          <w:p w:rsidR="00CE6104" w:rsidRPr="00CE6104" w:rsidRDefault="00CE6104" w:rsidP="00CE6104">
            <w:pPr>
              <w:jc w:val="center"/>
              <w:rPr>
                <w:rFonts w:eastAsia="Calibri" w:cs="Arial"/>
                <w:b/>
                <w:bCs/>
                <w:sz w:val="22"/>
                <w:szCs w:val="22"/>
              </w:rPr>
            </w:pPr>
            <w:r w:rsidRPr="00CE6104">
              <w:rPr>
                <w:rFonts w:eastAsia="Calibri" w:cs="Arial"/>
                <w:b/>
                <w:bCs/>
                <w:sz w:val="22"/>
                <w:szCs w:val="22"/>
              </w:rPr>
              <w:t>SURTAX FUNDING REVISED</w:t>
            </w:r>
          </w:p>
        </w:tc>
        <w:tc>
          <w:tcPr>
            <w:tcW w:w="2378" w:type="dxa"/>
            <w:tcBorders>
              <w:top w:val="single" w:sz="4" w:space="0" w:color="000000"/>
              <w:left w:val="nil"/>
              <w:bottom w:val="single" w:sz="4" w:space="0" w:color="000000"/>
              <w:right w:val="single" w:sz="4" w:space="0" w:color="000000"/>
            </w:tcBorders>
            <w:shd w:val="clear" w:color="auto" w:fill="auto"/>
            <w:hideMark/>
          </w:tcPr>
          <w:p w:rsidR="00CE6104" w:rsidRPr="00CE6104" w:rsidRDefault="00CE6104" w:rsidP="00CE6104">
            <w:pPr>
              <w:ind w:right="-70"/>
              <w:jc w:val="center"/>
              <w:rPr>
                <w:rFonts w:eastAsia="Calibri" w:cs="Arial"/>
                <w:b/>
                <w:bCs/>
                <w:szCs w:val="20"/>
              </w:rPr>
            </w:pPr>
            <w:r w:rsidRPr="00CE6104">
              <w:rPr>
                <w:rFonts w:eastAsia="Calibri" w:cs="Arial"/>
                <w:b/>
                <w:bCs/>
                <w:szCs w:val="20"/>
              </w:rPr>
              <w:t>PROJECT IMPLEMENTATION DATE</w:t>
            </w:r>
          </w:p>
        </w:tc>
      </w:tr>
      <w:tr w:rsidR="00CE6104" w:rsidRPr="00CE6104" w:rsidTr="00CE6104">
        <w:trPr>
          <w:trHeight w:val="1080"/>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CE6104" w:rsidRPr="00CE6104" w:rsidRDefault="00CE6104" w:rsidP="00CE6104">
            <w:pPr>
              <w:ind w:left="72"/>
              <w:rPr>
                <w:rFonts w:eastAsia="Calibri" w:cs="Arial"/>
                <w:b/>
                <w:bCs/>
                <w:sz w:val="22"/>
                <w:szCs w:val="22"/>
              </w:rPr>
            </w:pPr>
            <w:r w:rsidRPr="00CE6104">
              <w:rPr>
                <w:rFonts w:eastAsia="Calibri" w:cs="Arial"/>
                <w:b/>
                <w:bCs/>
                <w:sz w:val="22"/>
                <w:szCs w:val="22"/>
              </w:rPr>
              <w:t>COMPREHENSIVE BEACH MANAGEMENT</w:t>
            </w:r>
          </w:p>
        </w:tc>
        <w:tc>
          <w:tcPr>
            <w:tcW w:w="369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Longboat Key Beach Nourishment Project and Erosion Control Structures</w:t>
            </w:r>
          </w:p>
        </w:tc>
        <w:tc>
          <w:tcPr>
            <w:tcW w:w="144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4D05B1">
              <w:rPr>
                <w:rFonts w:eastAsia="Calibri" w:cs="Arial"/>
                <w:b/>
                <w:bCs/>
                <w:sz w:val="22"/>
                <w:szCs w:val="22"/>
              </w:rPr>
              <w:t>1,015,569</w:t>
            </w:r>
          </w:p>
        </w:tc>
        <w:tc>
          <w:tcPr>
            <w:tcW w:w="135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4D05B1">
              <w:rPr>
                <w:rFonts w:eastAsia="Calibri" w:cs="Arial"/>
                <w:b/>
                <w:bCs/>
                <w:sz w:val="22"/>
                <w:szCs w:val="22"/>
              </w:rPr>
              <w:t>300,000</w:t>
            </w:r>
          </w:p>
        </w:tc>
        <w:tc>
          <w:tcPr>
            <w:tcW w:w="2378"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2010 - 2024</w:t>
            </w:r>
          </w:p>
        </w:tc>
      </w:tr>
      <w:tr w:rsidR="00CE6104" w:rsidRPr="00CE6104" w:rsidTr="00CE6104">
        <w:trPr>
          <w:trHeight w:val="720"/>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CE6104" w:rsidRPr="00CE6104" w:rsidRDefault="00CE6104" w:rsidP="00CE6104">
            <w:pPr>
              <w:ind w:left="72"/>
              <w:rPr>
                <w:rFonts w:eastAsia="Calibri" w:cs="Arial"/>
                <w:b/>
                <w:bCs/>
                <w:sz w:val="22"/>
                <w:szCs w:val="22"/>
              </w:rPr>
            </w:pPr>
            <w:r w:rsidRPr="00CE6104">
              <w:rPr>
                <w:rFonts w:eastAsia="Calibri" w:cs="Arial"/>
                <w:b/>
                <w:bCs/>
                <w:sz w:val="22"/>
                <w:szCs w:val="22"/>
              </w:rPr>
              <w:t> </w:t>
            </w:r>
          </w:p>
        </w:tc>
        <w:tc>
          <w:tcPr>
            <w:tcW w:w="3690" w:type="dxa"/>
            <w:tcBorders>
              <w:top w:val="nil"/>
              <w:left w:val="nil"/>
              <w:bottom w:val="single" w:sz="4" w:space="0" w:color="000000"/>
              <w:right w:val="single" w:sz="4" w:space="0" w:color="000000"/>
            </w:tcBorders>
            <w:shd w:val="clear" w:color="000000" w:fill="FFC0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Comprehensive Beach Management Total</w:t>
            </w:r>
          </w:p>
        </w:tc>
        <w:tc>
          <w:tcPr>
            <w:tcW w:w="1440" w:type="dxa"/>
            <w:tcBorders>
              <w:top w:val="nil"/>
              <w:left w:val="nil"/>
              <w:bottom w:val="single" w:sz="4" w:space="0" w:color="000000"/>
              <w:right w:val="single" w:sz="4" w:space="0" w:color="000000"/>
            </w:tcBorders>
            <w:shd w:val="clear" w:color="000000" w:fill="FFC0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4D05B1">
              <w:rPr>
                <w:rFonts w:eastAsia="Calibri" w:cs="Arial"/>
                <w:b/>
                <w:bCs/>
                <w:sz w:val="22"/>
                <w:szCs w:val="22"/>
              </w:rPr>
              <w:t>1,015,569</w:t>
            </w:r>
          </w:p>
        </w:tc>
        <w:tc>
          <w:tcPr>
            <w:tcW w:w="1350" w:type="dxa"/>
            <w:tcBorders>
              <w:top w:val="nil"/>
              <w:left w:val="nil"/>
              <w:bottom w:val="single" w:sz="4" w:space="0" w:color="000000"/>
              <w:right w:val="single" w:sz="4" w:space="0" w:color="000000"/>
            </w:tcBorders>
            <w:shd w:val="clear" w:color="000000" w:fill="FFFF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4D05B1">
              <w:rPr>
                <w:rFonts w:eastAsia="Calibri" w:cs="Arial"/>
                <w:b/>
                <w:bCs/>
                <w:sz w:val="22"/>
                <w:szCs w:val="22"/>
              </w:rPr>
              <w:t>300,000</w:t>
            </w:r>
          </w:p>
        </w:tc>
        <w:tc>
          <w:tcPr>
            <w:tcW w:w="2378"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p>
        </w:tc>
      </w:tr>
      <w:tr w:rsidR="00CE6104" w:rsidRPr="00CE6104" w:rsidTr="00CE6104">
        <w:trPr>
          <w:trHeight w:val="197"/>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CE6104" w:rsidRPr="00CE6104" w:rsidRDefault="00CE6104" w:rsidP="00CE6104">
            <w:pPr>
              <w:ind w:left="72"/>
              <w:rPr>
                <w:rFonts w:eastAsia="Calibri" w:cs="Arial"/>
                <w:b/>
                <w:bCs/>
                <w:sz w:val="22"/>
                <w:szCs w:val="22"/>
              </w:rPr>
            </w:pPr>
            <w:r w:rsidRPr="00CE6104">
              <w:rPr>
                <w:rFonts w:eastAsia="Calibri" w:cs="Arial"/>
                <w:b/>
                <w:bCs/>
                <w:sz w:val="22"/>
                <w:szCs w:val="22"/>
              </w:rPr>
              <w:t> </w:t>
            </w:r>
          </w:p>
        </w:tc>
        <w:tc>
          <w:tcPr>
            <w:tcW w:w="369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 </w:t>
            </w:r>
          </w:p>
        </w:tc>
        <w:tc>
          <w:tcPr>
            <w:tcW w:w="144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 </w:t>
            </w:r>
          </w:p>
        </w:tc>
        <w:tc>
          <w:tcPr>
            <w:tcW w:w="135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 </w:t>
            </w:r>
          </w:p>
        </w:tc>
        <w:tc>
          <w:tcPr>
            <w:tcW w:w="2378"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p>
        </w:tc>
      </w:tr>
      <w:tr w:rsidR="00CE6104" w:rsidRPr="00CE6104" w:rsidTr="00CE6104">
        <w:trPr>
          <w:trHeight w:val="720"/>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CE6104" w:rsidRPr="00CE6104" w:rsidRDefault="00CE6104" w:rsidP="00CE6104">
            <w:pPr>
              <w:ind w:left="72"/>
              <w:rPr>
                <w:rFonts w:eastAsia="Calibri" w:cs="Arial"/>
                <w:b/>
                <w:bCs/>
                <w:sz w:val="22"/>
                <w:szCs w:val="22"/>
              </w:rPr>
            </w:pPr>
            <w:r w:rsidRPr="00CE6104">
              <w:rPr>
                <w:rFonts w:eastAsia="Calibri" w:cs="Arial"/>
                <w:b/>
                <w:bCs/>
                <w:sz w:val="22"/>
                <w:szCs w:val="22"/>
              </w:rPr>
              <w:t>STREETS and DRAINAGE</w:t>
            </w:r>
          </w:p>
        </w:tc>
        <w:tc>
          <w:tcPr>
            <w:tcW w:w="369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Street Resurfacing and Drainage Improvements</w:t>
            </w:r>
          </w:p>
        </w:tc>
        <w:tc>
          <w:tcPr>
            <w:tcW w:w="144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$0</w:t>
            </w:r>
          </w:p>
        </w:tc>
        <w:tc>
          <w:tcPr>
            <w:tcW w:w="135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$0</w:t>
            </w:r>
          </w:p>
        </w:tc>
        <w:tc>
          <w:tcPr>
            <w:tcW w:w="2378"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2010 - 202</w:t>
            </w:r>
            <w:r w:rsidR="00E2503A">
              <w:rPr>
                <w:rFonts w:eastAsia="Calibri" w:cs="Arial"/>
                <w:b/>
                <w:bCs/>
                <w:sz w:val="22"/>
                <w:szCs w:val="22"/>
              </w:rPr>
              <w:t>4</w:t>
            </w:r>
          </w:p>
        </w:tc>
      </w:tr>
      <w:tr w:rsidR="00CE6104" w:rsidRPr="00CE6104" w:rsidTr="00CE6104">
        <w:trPr>
          <w:trHeight w:val="287"/>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CE6104" w:rsidRPr="00CE6104" w:rsidRDefault="00CE6104" w:rsidP="00CE6104">
            <w:pPr>
              <w:ind w:left="72"/>
              <w:rPr>
                <w:rFonts w:eastAsia="Calibri" w:cs="Arial"/>
                <w:b/>
                <w:bCs/>
                <w:sz w:val="22"/>
                <w:szCs w:val="22"/>
              </w:rPr>
            </w:pPr>
            <w:r w:rsidRPr="00CE6104">
              <w:rPr>
                <w:rFonts w:eastAsia="Calibri" w:cs="Arial"/>
                <w:b/>
                <w:bCs/>
                <w:sz w:val="22"/>
                <w:szCs w:val="22"/>
              </w:rPr>
              <w:t> </w:t>
            </w:r>
          </w:p>
        </w:tc>
        <w:tc>
          <w:tcPr>
            <w:tcW w:w="3690" w:type="dxa"/>
            <w:tcBorders>
              <w:top w:val="nil"/>
              <w:left w:val="nil"/>
              <w:bottom w:val="single" w:sz="4" w:space="0" w:color="000000"/>
              <w:right w:val="single" w:sz="4" w:space="0" w:color="000000"/>
            </w:tcBorders>
            <w:shd w:val="clear" w:color="000000" w:fill="FFC0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Streets &amp; Drainage Total</w:t>
            </w:r>
          </w:p>
        </w:tc>
        <w:tc>
          <w:tcPr>
            <w:tcW w:w="1440" w:type="dxa"/>
            <w:tcBorders>
              <w:top w:val="nil"/>
              <w:left w:val="nil"/>
              <w:bottom w:val="single" w:sz="4" w:space="0" w:color="000000"/>
              <w:right w:val="single" w:sz="4" w:space="0" w:color="000000"/>
            </w:tcBorders>
            <w:shd w:val="clear" w:color="000000" w:fill="FFC0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780017">
              <w:rPr>
                <w:rFonts w:eastAsia="Calibri" w:cs="Arial"/>
                <w:b/>
                <w:bCs/>
                <w:sz w:val="22"/>
                <w:szCs w:val="22"/>
              </w:rPr>
              <w:t>0</w:t>
            </w:r>
          </w:p>
        </w:tc>
        <w:tc>
          <w:tcPr>
            <w:tcW w:w="1350" w:type="dxa"/>
            <w:tcBorders>
              <w:top w:val="nil"/>
              <w:left w:val="nil"/>
              <w:bottom w:val="single" w:sz="4" w:space="0" w:color="000000"/>
              <w:right w:val="single" w:sz="4" w:space="0" w:color="000000"/>
            </w:tcBorders>
            <w:shd w:val="clear" w:color="000000" w:fill="FFFF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$0</w:t>
            </w:r>
          </w:p>
        </w:tc>
        <w:tc>
          <w:tcPr>
            <w:tcW w:w="2378"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p>
        </w:tc>
      </w:tr>
      <w:tr w:rsidR="00CE6104" w:rsidRPr="00CE6104" w:rsidTr="00CE6104">
        <w:trPr>
          <w:trHeight w:val="242"/>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CE6104" w:rsidRPr="00CE6104" w:rsidRDefault="00CE6104" w:rsidP="00CE6104">
            <w:pPr>
              <w:ind w:left="72"/>
              <w:rPr>
                <w:rFonts w:eastAsia="Calibri" w:cs="Arial"/>
                <w:b/>
                <w:bCs/>
                <w:sz w:val="22"/>
                <w:szCs w:val="22"/>
              </w:rPr>
            </w:pPr>
            <w:r w:rsidRPr="00CE6104">
              <w:rPr>
                <w:rFonts w:eastAsia="Calibri" w:cs="Arial"/>
                <w:b/>
                <w:bCs/>
                <w:sz w:val="22"/>
                <w:szCs w:val="22"/>
              </w:rPr>
              <w:t> </w:t>
            </w:r>
          </w:p>
        </w:tc>
        <w:tc>
          <w:tcPr>
            <w:tcW w:w="369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 </w:t>
            </w:r>
          </w:p>
        </w:tc>
        <w:tc>
          <w:tcPr>
            <w:tcW w:w="144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 </w:t>
            </w:r>
          </w:p>
        </w:tc>
        <w:tc>
          <w:tcPr>
            <w:tcW w:w="135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 </w:t>
            </w:r>
          </w:p>
        </w:tc>
        <w:tc>
          <w:tcPr>
            <w:tcW w:w="2378"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p>
        </w:tc>
      </w:tr>
      <w:tr w:rsidR="00CE6104" w:rsidRPr="00CE6104" w:rsidTr="00CE6104">
        <w:trPr>
          <w:trHeight w:val="908"/>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CE6104" w:rsidRPr="00CE6104" w:rsidRDefault="00CE6104" w:rsidP="00CE6104">
            <w:pPr>
              <w:ind w:left="72"/>
              <w:rPr>
                <w:rFonts w:eastAsia="Calibri" w:cs="Arial"/>
                <w:b/>
                <w:bCs/>
                <w:sz w:val="22"/>
                <w:szCs w:val="22"/>
              </w:rPr>
            </w:pPr>
            <w:r w:rsidRPr="00CE6104">
              <w:rPr>
                <w:rFonts w:eastAsia="Calibri" w:cs="Arial"/>
                <w:b/>
                <w:bCs/>
                <w:sz w:val="22"/>
                <w:szCs w:val="22"/>
              </w:rPr>
              <w:t>PARKS and RECREATION IMPROVEMENTS</w:t>
            </w:r>
          </w:p>
        </w:tc>
        <w:tc>
          <w:tcPr>
            <w:tcW w:w="369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 xml:space="preserve">Parks &amp; Recreation Improvements </w:t>
            </w:r>
          </w:p>
        </w:tc>
        <w:tc>
          <w:tcPr>
            <w:tcW w:w="144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E2503A">
              <w:rPr>
                <w:rFonts w:eastAsia="Calibri" w:cs="Arial"/>
                <w:b/>
                <w:bCs/>
                <w:sz w:val="22"/>
                <w:szCs w:val="22"/>
              </w:rPr>
              <w:t>2,922,000</w:t>
            </w:r>
          </w:p>
        </w:tc>
        <w:tc>
          <w:tcPr>
            <w:tcW w:w="135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6C7373">
              <w:rPr>
                <w:rFonts w:eastAsia="Calibri" w:cs="Arial"/>
                <w:b/>
                <w:bCs/>
                <w:sz w:val="22"/>
                <w:szCs w:val="22"/>
              </w:rPr>
              <w:t>2,202,494</w:t>
            </w:r>
          </w:p>
        </w:tc>
        <w:tc>
          <w:tcPr>
            <w:tcW w:w="2378"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2010 - 202</w:t>
            </w:r>
            <w:r w:rsidR="00E2503A">
              <w:rPr>
                <w:rFonts w:eastAsia="Calibri" w:cs="Arial"/>
                <w:b/>
                <w:bCs/>
                <w:sz w:val="22"/>
                <w:szCs w:val="22"/>
              </w:rPr>
              <w:t>6</w:t>
            </w:r>
          </w:p>
        </w:tc>
      </w:tr>
      <w:tr w:rsidR="00CE6104" w:rsidRPr="00CE6104" w:rsidTr="00CE6104">
        <w:trPr>
          <w:trHeight w:val="405"/>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CE6104" w:rsidRPr="00CE6104" w:rsidRDefault="00CE6104" w:rsidP="00CE6104">
            <w:pPr>
              <w:ind w:left="72"/>
              <w:rPr>
                <w:rFonts w:eastAsia="Calibri" w:cs="Arial"/>
                <w:b/>
                <w:bCs/>
                <w:sz w:val="22"/>
                <w:szCs w:val="22"/>
              </w:rPr>
            </w:pPr>
            <w:r w:rsidRPr="00CE6104">
              <w:rPr>
                <w:rFonts w:eastAsia="Calibri" w:cs="Arial"/>
                <w:b/>
                <w:bCs/>
                <w:sz w:val="22"/>
                <w:szCs w:val="22"/>
              </w:rPr>
              <w:t> </w:t>
            </w:r>
          </w:p>
        </w:tc>
        <w:tc>
          <w:tcPr>
            <w:tcW w:w="3690" w:type="dxa"/>
            <w:tcBorders>
              <w:top w:val="nil"/>
              <w:left w:val="nil"/>
              <w:bottom w:val="single" w:sz="4" w:space="0" w:color="000000"/>
              <w:right w:val="single" w:sz="4" w:space="0" w:color="000000"/>
            </w:tcBorders>
            <w:shd w:val="clear" w:color="000000" w:fill="FFC0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Parks &amp; Recreation Total</w:t>
            </w:r>
          </w:p>
        </w:tc>
        <w:tc>
          <w:tcPr>
            <w:tcW w:w="1440" w:type="dxa"/>
            <w:tcBorders>
              <w:top w:val="nil"/>
              <w:left w:val="nil"/>
              <w:bottom w:val="single" w:sz="4" w:space="0" w:color="000000"/>
              <w:right w:val="single" w:sz="4" w:space="0" w:color="000000"/>
            </w:tcBorders>
            <w:shd w:val="clear" w:color="000000" w:fill="FFC0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E2503A">
              <w:rPr>
                <w:rFonts w:eastAsia="Calibri" w:cs="Arial"/>
                <w:b/>
                <w:bCs/>
                <w:sz w:val="22"/>
                <w:szCs w:val="22"/>
              </w:rPr>
              <w:t>2,922,000</w:t>
            </w:r>
          </w:p>
        </w:tc>
        <w:tc>
          <w:tcPr>
            <w:tcW w:w="1350" w:type="dxa"/>
            <w:tcBorders>
              <w:top w:val="nil"/>
              <w:left w:val="nil"/>
              <w:bottom w:val="single" w:sz="4" w:space="0" w:color="000000"/>
              <w:right w:val="single" w:sz="4" w:space="0" w:color="000000"/>
            </w:tcBorders>
            <w:shd w:val="clear" w:color="000000" w:fill="FFFF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6C7373">
              <w:rPr>
                <w:rFonts w:eastAsia="Calibri" w:cs="Arial"/>
                <w:b/>
                <w:bCs/>
                <w:sz w:val="22"/>
                <w:szCs w:val="22"/>
              </w:rPr>
              <w:t>2,202,494</w:t>
            </w:r>
          </w:p>
        </w:tc>
        <w:tc>
          <w:tcPr>
            <w:tcW w:w="2378"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p>
        </w:tc>
      </w:tr>
      <w:tr w:rsidR="00CE6104" w:rsidRPr="00CE6104" w:rsidTr="00CE6104">
        <w:trPr>
          <w:trHeight w:val="188"/>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CE6104" w:rsidRPr="00CE6104" w:rsidRDefault="00CE6104" w:rsidP="00CE6104">
            <w:pPr>
              <w:ind w:left="72"/>
              <w:rPr>
                <w:rFonts w:eastAsia="Calibri" w:cs="Arial"/>
                <w:b/>
                <w:bCs/>
                <w:sz w:val="22"/>
                <w:szCs w:val="22"/>
              </w:rPr>
            </w:pPr>
            <w:r w:rsidRPr="00CE6104">
              <w:rPr>
                <w:rFonts w:eastAsia="Calibri" w:cs="Arial"/>
                <w:b/>
                <w:bCs/>
                <w:sz w:val="22"/>
                <w:szCs w:val="22"/>
              </w:rPr>
              <w:t> </w:t>
            </w:r>
          </w:p>
        </w:tc>
        <w:tc>
          <w:tcPr>
            <w:tcW w:w="369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 </w:t>
            </w:r>
          </w:p>
        </w:tc>
        <w:tc>
          <w:tcPr>
            <w:tcW w:w="144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 </w:t>
            </w:r>
          </w:p>
        </w:tc>
        <w:tc>
          <w:tcPr>
            <w:tcW w:w="135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 </w:t>
            </w:r>
          </w:p>
        </w:tc>
        <w:tc>
          <w:tcPr>
            <w:tcW w:w="2378"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p>
        </w:tc>
      </w:tr>
      <w:tr w:rsidR="00CE6104" w:rsidRPr="00CE6104" w:rsidTr="00CE6104">
        <w:trPr>
          <w:trHeight w:val="377"/>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CE6104" w:rsidRPr="00CE6104" w:rsidRDefault="00CE6104" w:rsidP="00CE6104">
            <w:pPr>
              <w:ind w:left="72"/>
              <w:rPr>
                <w:rFonts w:eastAsia="Calibri" w:cs="Arial"/>
                <w:b/>
                <w:bCs/>
                <w:sz w:val="22"/>
                <w:szCs w:val="22"/>
              </w:rPr>
            </w:pPr>
            <w:r w:rsidRPr="00CE6104">
              <w:rPr>
                <w:rFonts w:eastAsia="Calibri" w:cs="Arial"/>
                <w:b/>
                <w:bCs/>
                <w:sz w:val="22"/>
                <w:szCs w:val="22"/>
              </w:rPr>
              <w:t>CANAL DREDGING</w:t>
            </w:r>
          </w:p>
        </w:tc>
        <w:tc>
          <w:tcPr>
            <w:tcW w:w="369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Dredging maintenance</w:t>
            </w:r>
          </w:p>
        </w:tc>
        <w:tc>
          <w:tcPr>
            <w:tcW w:w="144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E2503A">
              <w:rPr>
                <w:rFonts w:eastAsia="Calibri" w:cs="Arial"/>
                <w:b/>
                <w:bCs/>
                <w:sz w:val="22"/>
                <w:szCs w:val="22"/>
              </w:rPr>
              <w:t>900,000</w:t>
            </w:r>
          </w:p>
        </w:tc>
        <w:tc>
          <w:tcPr>
            <w:tcW w:w="135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E2503A">
              <w:rPr>
                <w:rFonts w:eastAsia="Calibri" w:cs="Arial"/>
                <w:b/>
                <w:bCs/>
                <w:sz w:val="22"/>
                <w:szCs w:val="22"/>
              </w:rPr>
              <w:t>9</w:t>
            </w:r>
            <w:r w:rsidRPr="00CE6104">
              <w:rPr>
                <w:rFonts w:eastAsia="Calibri" w:cs="Arial"/>
                <w:b/>
                <w:bCs/>
                <w:sz w:val="22"/>
                <w:szCs w:val="22"/>
              </w:rPr>
              <w:t>00,000</w:t>
            </w:r>
          </w:p>
        </w:tc>
        <w:tc>
          <w:tcPr>
            <w:tcW w:w="2378"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2010 - 202</w:t>
            </w:r>
            <w:r w:rsidR="00E2503A">
              <w:rPr>
                <w:rFonts w:eastAsia="Calibri" w:cs="Arial"/>
                <w:b/>
                <w:bCs/>
                <w:sz w:val="22"/>
                <w:szCs w:val="22"/>
              </w:rPr>
              <w:t>6</w:t>
            </w:r>
          </w:p>
        </w:tc>
      </w:tr>
      <w:tr w:rsidR="00CE6104" w:rsidRPr="00CE6104" w:rsidTr="00CE6104">
        <w:trPr>
          <w:trHeight w:val="332"/>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CE6104" w:rsidRPr="00CE6104" w:rsidRDefault="00CE6104" w:rsidP="00CE6104">
            <w:pPr>
              <w:ind w:left="72"/>
              <w:rPr>
                <w:rFonts w:eastAsia="Calibri" w:cs="Arial"/>
                <w:b/>
                <w:bCs/>
                <w:sz w:val="22"/>
                <w:szCs w:val="22"/>
              </w:rPr>
            </w:pPr>
            <w:r w:rsidRPr="00CE6104">
              <w:rPr>
                <w:rFonts w:eastAsia="Calibri" w:cs="Arial"/>
                <w:b/>
                <w:bCs/>
                <w:sz w:val="22"/>
                <w:szCs w:val="22"/>
              </w:rPr>
              <w:t> </w:t>
            </w:r>
          </w:p>
        </w:tc>
        <w:tc>
          <w:tcPr>
            <w:tcW w:w="3690" w:type="dxa"/>
            <w:tcBorders>
              <w:top w:val="nil"/>
              <w:left w:val="nil"/>
              <w:bottom w:val="single" w:sz="4" w:space="0" w:color="000000"/>
              <w:right w:val="single" w:sz="4" w:space="0" w:color="000000"/>
            </w:tcBorders>
            <w:shd w:val="clear" w:color="000000" w:fill="FFC0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Canal Dredging Total</w:t>
            </w:r>
          </w:p>
        </w:tc>
        <w:tc>
          <w:tcPr>
            <w:tcW w:w="1440" w:type="dxa"/>
            <w:tcBorders>
              <w:top w:val="nil"/>
              <w:left w:val="nil"/>
              <w:bottom w:val="single" w:sz="4" w:space="0" w:color="000000"/>
              <w:right w:val="single" w:sz="4" w:space="0" w:color="000000"/>
            </w:tcBorders>
            <w:shd w:val="clear" w:color="000000" w:fill="FFC0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E2503A">
              <w:rPr>
                <w:rFonts w:eastAsia="Calibri" w:cs="Arial"/>
                <w:b/>
                <w:bCs/>
                <w:sz w:val="22"/>
                <w:szCs w:val="22"/>
              </w:rPr>
              <w:t>900,000</w:t>
            </w:r>
          </w:p>
        </w:tc>
        <w:tc>
          <w:tcPr>
            <w:tcW w:w="1350" w:type="dxa"/>
            <w:tcBorders>
              <w:top w:val="nil"/>
              <w:left w:val="nil"/>
              <w:bottom w:val="single" w:sz="4" w:space="0" w:color="000000"/>
              <w:right w:val="single" w:sz="4" w:space="0" w:color="000000"/>
            </w:tcBorders>
            <w:shd w:val="clear" w:color="000000" w:fill="FFFF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E2503A">
              <w:rPr>
                <w:rFonts w:eastAsia="Calibri" w:cs="Arial"/>
                <w:b/>
                <w:bCs/>
                <w:sz w:val="22"/>
                <w:szCs w:val="22"/>
              </w:rPr>
              <w:t>9</w:t>
            </w:r>
            <w:r w:rsidRPr="00CE6104">
              <w:rPr>
                <w:rFonts w:eastAsia="Calibri" w:cs="Arial"/>
                <w:b/>
                <w:bCs/>
                <w:sz w:val="22"/>
                <w:szCs w:val="22"/>
              </w:rPr>
              <w:t>00,000</w:t>
            </w:r>
          </w:p>
        </w:tc>
        <w:tc>
          <w:tcPr>
            <w:tcW w:w="2378"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p>
        </w:tc>
      </w:tr>
      <w:tr w:rsidR="00CE6104" w:rsidRPr="00CE6104" w:rsidTr="00CE6104">
        <w:trPr>
          <w:trHeight w:val="188"/>
        </w:trPr>
        <w:tc>
          <w:tcPr>
            <w:tcW w:w="2610" w:type="dxa"/>
            <w:tcBorders>
              <w:top w:val="nil"/>
              <w:left w:val="single" w:sz="4" w:space="0" w:color="000000"/>
              <w:bottom w:val="single" w:sz="4" w:space="0" w:color="000000"/>
              <w:right w:val="single" w:sz="4" w:space="0" w:color="000000"/>
            </w:tcBorders>
            <w:shd w:val="clear" w:color="auto" w:fill="auto"/>
            <w:hideMark/>
          </w:tcPr>
          <w:p w:rsidR="00CE6104" w:rsidRPr="00CE6104" w:rsidRDefault="00CE6104" w:rsidP="00CE6104">
            <w:pPr>
              <w:ind w:left="72"/>
              <w:rPr>
                <w:rFonts w:eastAsia="Calibri" w:cs="Arial"/>
                <w:b/>
                <w:bCs/>
                <w:sz w:val="22"/>
                <w:szCs w:val="22"/>
              </w:rPr>
            </w:pPr>
            <w:r w:rsidRPr="00CE6104">
              <w:rPr>
                <w:rFonts w:eastAsia="Calibri" w:cs="Arial"/>
                <w:b/>
                <w:bCs/>
                <w:sz w:val="22"/>
                <w:szCs w:val="22"/>
              </w:rPr>
              <w:t> </w:t>
            </w:r>
          </w:p>
        </w:tc>
        <w:tc>
          <w:tcPr>
            <w:tcW w:w="3690" w:type="dxa"/>
            <w:tcBorders>
              <w:top w:val="nil"/>
              <w:left w:val="nil"/>
              <w:bottom w:val="single" w:sz="4" w:space="0" w:color="000000"/>
              <w:right w:val="single" w:sz="4" w:space="0" w:color="000000"/>
            </w:tcBorders>
            <w:shd w:val="clear" w:color="auto" w:fill="auto"/>
            <w:hideMark/>
          </w:tcPr>
          <w:p w:rsidR="00CE6104" w:rsidRPr="00CE6104" w:rsidRDefault="00CE6104" w:rsidP="00CE6104">
            <w:pPr>
              <w:rPr>
                <w:rFonts w:eastAsia="Calibri" w:cs="Arial"/>
                <w:b/>
                <w:bCs/>
                <w:sz w:val="22"/>
                <w:szCs w:val="22"/>
              </w:rPr>
            </w:pPr>
            <w:r w:rsidRPr="00CE6104">
              <w:rPr>
                <w:rFonts w:eastAsia="Calibri" w:cs="Arial"/>
                <w:b/>
                <w:bCs/>
                <w:sz w:val="22"/>
                <w:szCs w:val="22"/>
              </w:rPr>
              <w:t> </w:t>
            </w:r>
          </w:p>
        </w:tc>
        <w:tc>
          <w:tcPr>
            <w:tcW w:w="1440" w:type="dxa"/>
            <w:tcBorders>
              <w:top w:val="nil"/>
              <w:left w:val="nil"/>
              <w:bottom w:val="single" w:sz="4" w:space="0" w:color="000000"/>
              <w:right w:val="single" w:sz="4" w:space="0" w:color="000000"/>
            </w:tcBorders>
            <w:shd w:val="clear" w:color="auto" w:fill="auto"/>
            <w:hideMark/>
          </w:tcPr>
          <w:p w:rsidR="00CE6104" w:rsidRPr="00CE6104" w:rsidRDefault="00CE6104" w:rsidP="00CE6104">
            <w:pPr>
              <w:rPr>
                <w:rFonts w:eastAsia="Calibri" w:cs="Arial"/>
                <w:b/>
                <w:bCs/>
                <w:sz w:val="22"/>
                <w:szCs w:val="22"/>
              </w:rPr>
            </w:pPr>
            <w:r w:rsidRPr="00CE6104">
              <w:rPr>
                <w:rFonts w:eastAsia="Calibri" w:cs="Arial"/>
                <w:b/>
                <w:bCs/>
                <w:sz w:val="22"/>
                <w:szCs w:val="22"/>
              </w:rPr>
              <w:t> </w:t>
            </w:r>
          </w:p>
        </w:tc>
        <w:tc>
          <w:tcPr>
            <w:tcW w:w="1350" w:type="dxa"/>
            <w:tcBorders>
              <w:top w:val="nil"/>
              <w:left w:val="nil"/>
              <w:bottom w:val="single" w:sz="4" w:space="0" w:color="000000"/>
              <w:right w:val="single" w:sz="4" w:space="0" w:color="000000"/>
            </w:tcBorders>
            <w:shd w:val="clear" w:color="auto" w:fill="auto"/>
            <w:hideMark/>
          </w:tcPr>
          <w:p w:rsidR="00CE6104" w:rsidRPr="00CE6104" w:rsidRDefault="00CE6104" w:rsidP="00CE6104">
            <w:pPr>
              <w:rPr>
                <w:rFonts w:eastAsia="Calibri" w:cs="Arial"/>
                <w:b/>
                <w:bCs/>
                <w:sz w:val="22"/>
                <w:szCs w:val="22"/>
              </w:rPr>
            </w:pPr>
            <w:r w:rsidRPr="00CE6104">
              <w:rPr>
                <w:rFonts w:eastAsia="Calibri" w:cs="Arial"/>
                <w:b/>
                <w:bCs/>
                <w:sz w:val="22"/>
                <w:szCs w:val="22"/>
              </w:rPr>
              <w:t> </w:t>
            </w:r>
          </w:p>
        </w:tc>
        <w:tc>
          <w:tcPr>
            <w:tcW w:w="2378" w:type="dxa"/>
            <w:tcBorders>
              <w:top w:val="nil"/>
              <w:left w:val="nil"/>
              <w:bottom w:val="single" w:sz="4" w:space="0" w:color="000000"/>
              <w:right w:val="single" w:sz="4" w:space="0" w:color="000000"/>
            </w:tcBorders>
            <w:shd w:val="clear" w:color="auto" w:fill="auto"/>
            <w:hideMark/>
          </w:tcPr>
          <w:p w:rsidR="00CE6104" w:rsidRPr="00CE6104" w:rsidRDefault="00CE6104" w:rsidP="00CE6104">
            <w:pPr>
              <w:jc w:val="center"/>
              <w:rPr>
                <w:rFonts w:eastAsia="Calibri" w:cs="Arial"/>
                <w:b/>
                <w:bCs/>
                <w:sz w:val="22"/>
                <w:szCs w:val="22"/>
              </w:rPr>
            </w:pPr>
          </w:p>
        </w:tc>
      </w:tr>
      <w:tr w:rsidR="00CE6104" w:rsidRPr="00CE6104" w:rsidTr="00CE6104">
        <w:trPr>
          <w:trHeight w:val="548"/>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CE6104" w:rsidRPr="00CE6104" w:rsidRDefault="00CE6104" w:rsidP="00CE6104">
            <w:pPr>
              <w:ind w:left="72"/>
              <w:rPr>
                <w:rFonts w:eastAsia="Calibri" w:cs="Arial"/>
                <w:b/>
                <w:bCs/>
                <w:sz w:val="22"/>
                <w:szCs w:val="22"/>
              </w:rPr>
            </w:pPr>
            <w:r w:rsidRPr="00CE6104">
              <w:rPr>
                <w:rFonts w:eastAsia="Calibri" w:cs="Arial"/>
                <w:b/>
                <w:bCs/>
                <w:sz w:val="22"/>
                <w:szCs w:val="22"/>
              </w:rPr>
              <w:t>PUBLIC SAFETY</w:t>
            </w:r>
          </w:p>
        </w:tc>
        <w:tc>
          <w:tcPr>
            <w:tcW w:w="369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 xml:space="preserve">Fire </w:t>
            </w:r>
            <w:r w:rsidR="00E2503A">
              <w:rPr>
                <w:rFonts w:eastAsia="Calibri" w:cs="Arial"/>
                <w:b/>
                <w:bCs/>
                <w:sz w:val="22"/>
                <w:szCs w:val="22"/>
              </w:rPr>
              <w:t xml:space="preserve">and Police </w:t>
            </w:r>
            <w:r w:rsidRPr="00CE6104">
              <w:rPr>
                <w:rFonts w:eastAsia="Calibri" w:cs="Arial"/>
                <w:b/>
                <w:bCs/>
                <w:sz w:val="22"/>
                <w:szCs w:val="22"/>
              </w:rPr>
              <w:t>Vehicle</w:t>
            </w:r>
            <w:r w:rsidR="00E2503A">
              <w:rPr>
                <w:rFonts w:eastAsia="Calibri" w:cs="Arial"/>
                <w:b/>
                <w:bCs/>
                <w:sz w:val="22"/>
                <w:szCs w:val="22"/>
              </w:rPr>
              <w:t>s and Equipment</w:t>
            </w:r>
          </w:p>
        </w:tc>
        <w:tc>
          <w:tcPr>
            <w:tcW w:w="144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E2503A">
              <w:rPr>
                <w:rFonts w:eastAsia="Calibri" w:cs="Arial"/>
                <w:b/>
                <w:bCs/>
                <w:sz w:val="22"/>
                <w:szCs w:val="22"/>
              </w:rPr>
              <w:t>3,803,168</w:t>
            </w:r>
          </w:p>
        </w:tc>
        <w:tc>
          <w:tcPr>
            <w:tcW w:w="135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E2503A">
              <w:rPr>
                <w:rFonts w:eastAsia="Calibri" w:cs="Arial"/>
                <w:b/>
                <w:bCs/>
                <w:sz w:val="22"/>
                <w:szCs w:val="22"/>
              </w:rPr>
              <w:t>5,</w:t>
            </w:r>
            <w:r w:rsidR="006C7373">
              <w:rPr>
                <w:rFonts w:eastAsia="Calibri" w:cs="Arial"/>
                <w:b/>
                <w:bCs/>
                <w:sz w:val="22"/>
                <w:szCs w:val="22"/>
              </w:rPr>
              <w:t>366</w:t>
            </w:r>
            <w:r w:rsidR="00E2503A">
              <w:rPr>
                <w:rFonts w:eastAsia="Calibri" w:cs="Arial"/>
                <w:b/>
                <w:bCs/>
                <w:sz w:val="22"/>
                <w:szCs w:val="22"/>
              </w:rPr>
              <w:t>,773</w:t>
            </w:r>
          </w:p>
        </w:tc>
        <w:tc>
          <w:tcPr>
            <w:tcW w:w="2378"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2010</w:t>
            </w:r>
            <w:r w:rsidR="005D25A8">
              <w:rPr>
                <w:rFonts w:eastAsia="Calibri" w:cs="Arial"/>
                <w:b/>
                <w:bCs/>
                <w:sz w:val="22"/>
                <w:szCs w:val="22"/>
              </w:rPr>
              <w:t xml:space="preserve"> </w:t>
            </w:r>
            <w:r w:rsidRPr="00CE6104">
              <w:rPr>
                <w:rFonts w:eastAsia="Calibri" w:cs="Arial"/>
                <w:b/>
                <w:bCs/>
                <w:sz w:val="22"/>
                <w:szCs w:val="22"/>
              </w:rPr>
              <w:t>-</w:t>
            </w:r>
            <w:r w:rsidR="005D25A8">
              <w:rPr>
                <w:rFonts w:eastAsia="Calibri" w:cs="Arial"/>
                <w:b/>
                <w:bCs/>
                <w:sz w:val="22"/>
                <w:szCs w:val="22"/>
              </w:rPr>
              <w:t xml:space="preserve"> </w:t>
            </w:r>
            <w:r w:rsidRPr="00CE6104">
              <w:rPr>
                <w:rFonts w:eastAsia="Calibri" w:cs="Arial"/>
                <w:b/>
                <w:bCs/>
                <w:sz w:val="22"/>
                <w:szCs w:val="22"/>
              </w:rPr>
              <w:t>20</w:t>
            </w:r>
            <w:r w:rsidR="00E2503A">
              <w:rPr>
                <w:rFonts w:eastAsia="Calibri" w:cs="Arial"/>
                <w:b/>
                <w:bCs/>
                <w:sz w:val="22"/>
                <w:szCs w:val="22"/>
              </w:rPr>
              <w:t>26</w:t>
            </w:r>
          </w:p>
        </w:tc>
      </w:tr>
      <w:tr w:rsidR="00CE6104" w:rsidRPr="00CE6104" w:rsidTr="00CE6104">
        <w:trPr>
          <w:trHeight w:val="360"/>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CE6104" w:rsidRPr="00CE6104" w:rsidRDefault="00CE6104" w:rsidP="00CE6104">
            <w:pPr>
              <w:ind w:left="72"/>
              <w:rPr>
                <w:rFonts w:eastAsia="Calibri" w:cs="Arial"/>
                <w:b/>
                <w:bCs/>
                <w:sz w:val="22"/>
                <w:szCs w:val="22"/>
              </w:rPr>
            </w:pPr>
            <w:r w:rsidRPr="00CE6104">
              <w:rPr>
                <w:rFonts w:eastAsia="Calibri" w:cs="Arial"/>
                <w:b/>
                <w:bCs/>
                <w:sz w:val="22"/>
                <w:szCs w:val="22"/>
              </w:rPr>
              <w:t> </w:t>
            </w:r>
          </w:p>
        </w:tc>
        <w:tc>
          <w:tcPr>
            <w:tcW w:w="3690" w:type="dxa"/>
            <w:tcBorders>
              <w:top w:val="nil"/>
              <w:left w:val="nil"/>
              <w:bottom w:val="single" w:sz="4" w:space="0" w:color="000000"/>
              <w:right w:val="single" w:sz="4" w:space="0" w:color="000000"/>
            </w:tcBorders>
            <w:shd w:val="clear" w:color="000000" w:fill="FFC0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Public Safety Total</w:t>
            </w:r>
          </w:p>
        </w:tc>
        <w:tc>
          <w:tcPr>
            <w:tcW w:w="1440" w:type="dxa"/>
            <w:tcBorders>
              <w:top w:val="nil"/>
              <w:left w:val="nil"/>
              <w:bottom w:val="single" w:sz="4" w:space="0" w:color="000000"/>
              <w:right w:val="single" w:sz="4" w:space="0" w:color="000000"/>
            </w:tcBorders>
            <w:shd w:val="clear" w:color="000000" w:fill="FFC0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E2503A">
              <w:rPr>
                <w:rFonts w:eastAsia="Calibri" w:cs="Arial"/>
                <w:b/>
                <w:bCs/>
                <w:sz w:val="22"/>
                <w:szCs w:val="22"/>
              </w:rPr>
              <w:t>3,803,168</w:t>
            </w:r>
          </w:p>
        </w:tc>
        <w:tc>
          <w:tcPr>
            <w:tcW w:w="1350" w:type="dxa"/>
            <w:tcBorders>
              <w:top w:val="nil"/>
              <w:left w:val="nil"/>
              <w:bottom w:val="single" w:sz="4" w:space="0" w:color="000000"/>
              <w:right w:val="single" w:sz="4" w:space="0" w:color="000000"/>
            </w:tcBorders>
            <w:shd w:val="clear" w:color="000000" w:fill="FFFF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E2503A">
              <w:rPr>
                <w:rFonts w:eastAsia="Calibri" w:cs="Arial"/>
                <w:b/>
                <w:bCs/>
                <w:sz w:val="22"/>
                <w:szCs w:val="22"/>
              </w:rPr>
              <w:t>5,</w:t>
            </w:r>
            <w:r w:rsidR="006C7373">
              <w:rPr>
                <w:rFonts w:eastAsia="Calibri" w:cs="Arial"/>
                <w:b/>
                <w:bCs/>
                <w:sz w:val="22"/>
                <w:szCs w:val="22"/>
              </w:rPr>
              <w:t>366</w:t>
            </w:r>
            <w:r w:rsidR="00E2503A">
              <w:rPr>
                <w:rFonts w:eastAsia="Calibri" w:cs="Arial"/>
                <w:b/>
                <w:bCs/>
                <w:sz w:val="22"/>
                <w:szCs w:val="22"/>
              </w:rPr>
              <w:t>,773</w:t>
            </w:r>
          </w:p>
        </w:tc>
        <w:tc>
          <w:tcPr>
            <w:tcW w:w="2378"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p>
        </w:tc>
      </w:tr>
      <w:tr w:rsidR="00CE6104" w:rsidRPr="00CE6104" w:rsidTr="00CE6104">
        <w:trPr>
          <w:trHeight w:val="242"/>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CE6104" w:rsidRPr="00CE6104" w:rsidRDefault="00CE6104" w:rsidP="00CE6104">
            <w:pPr>
              <w:ind w:left="72"/>
              <w:rPr>
                <w:rFonts w:eastAsia="Calibri" w:cs="Arial"/>
                <w:b/>
                <w:bCs/>
                <w:sz w:val="22"/>
                <w:szCs w:val="22"/>
              </w:rPr>
            </w:pPr>
            <w:r w:rsidRPr="00CE6104">
              <w:rPr>
                <w:rFonts w:eastAsia="Calibri" w:cs="Arial"/>
                <w:b/>
                <w:bCs/>
                <w:sz w:val="22"/>
                <w:szCs w:val="22"/>
              </w:rPr>
              <w:t> </w:t>
            </w:r>
          </w:p>
        </w:tc>
        <w:tc>
          <w:tcPr>
            <w:tcW w:w="369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 </w:t>
            </w:r>
          </w:p>
        </w:tc>
        <w:tc>
          <w:tcPr>
            <w:tcW w:w="144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 </w:t>
            </w:r>
          </w:p>
        </w:tc>
        <w:tc>
          <w:tcPr>
            <w:tcW w:w="135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 </w:t>
            </w:r>
          </w:p>
        </w:tc>
        <w:tc>
          <w:tcPr>
            <w:tcW w:w="2378"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p>
        </w:tc>
      </w:tr>
      <w:tr w:rsidR="00CE6104" w:rsidRPr="00CE6104" w:rsidTr="00CE6104">
        <w:trPr>
          <w:trHeight w:val="530"/>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CE6104" w:rsidRPr="00CE6104" w:rsidRDefault="00CE6104" w:rsidP="00CE6104">
            <w:pPr>
              <w:ind w:left="72"/>
              <w:rPr>
                <w:rFonts w:eastAsia="Calibri" w:cs="Arial"/>
                <w:b/>
                <w:bCs/>
                <w:sz w:val="22"/>
                <w:szCs w:val="22"/>
              </w:rPr>
            </w:pPr>
            <w:r w:rsidRPr="00CE6104">
              <w:rPr>
                <w:rFonts w:eastAsia="Calibri" w:cs="Arial"/>
                <w:b/>
                <w:bCs/>
                <w:sz w:val="22"/>
                <w:szCs w:val="22"/>
              </w:rPr>
              <w:t>IMPROVEMENTS TO PUBLIC FACILITIES</w:t>
            </w:r>
          </w:p>
        </w:tc>
        <w:tc>
          <w:tcPr>
            <w:tcW w:w="369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Facilities Maintenance</w:t>
            </w:r>
          </w:p>
        </w:tc>
        <w:tc>
          <w:tcPr>
            <w:tcW w:w="144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E2503A">
              <w:rPr>
                <w:rFonts w:eastAsia="Calibri" w:cs="Arial"/>
                <w:b/>
                <w:bCs/>
                <w:sz w:val="22"/>
                <w:szCs w:val="22"/>
              </w:rPr>
              <w:t>922,000</w:t>
            </w:r>
          </w:p>
        </w:tc>
        <w:tc>
          <w:tcPr>
            <w:tcW w:w="135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E2503A">
              <w:rPr>
                <w:rFonts w:eastAsia="Calibri" w:cs="Arial"/>
                <w:b/>
                <w:bCs/>
                <w:sz w:val="22"/>
                <w:szCs w:val="22"/>
              </w:rPr>
              <w:t>1,160,601</w:t>
            </w:r>
          </w:p>
        </w:tc>
        <w:tc>
          <w:tcPr>
            <w:tcW w:w="2378"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2010 - 202</w:t>
            </w:r>
            <w:r w:rsidR="00E2503A">
              <w:rPr>
                <w:rFonts w:eastAsia="Calibri" w:cs="Arial"/>
                <w:b/>
                <w:bCs/>
                <w:sz w:val="22"/>
                <w:szCs w:val="22"/>
              </w:rPr>
              <w:t>6</w:t>
            </w:r>
          </w:p>
        </w:tc>
      </w:tr>
      <w:tr w:rsidR="00CE6104" w:rsidRPr="00CE6104" w:rsidTr="00CE6104">
        <w:trPr>
          <w:trHeight w:val="530"/>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CE6104" w:rsidRPr="00CE6104" w:rsidRDefault="00CE6104" w:rsidP="00CE6104">
            <w:pPr>
              <w:ind w:left="72"/>
              <w:rPr>
                <w:rFonts w:eastAsia="Calibri" w:cs="Arial"/>
                <w:b/>
                <w:bCs/>
                <w:sz w:val="22"/>
                <w:szCs w:val="22"/>
                <w:u w:val="single"/>
              </w:rPr>
            </w:pPr>
          </w:p>
        </w:tc>
        <w:tc>
          <w:tcPr>
            <w:tcW w:w="3690" w:type="dxa"/>
            <w:tcBorders>
              <w:top w:val="nil"/>
              <w:left w:val="nil"/>
              <w:bottom w:val="single" w:sz="4" w:space="0" w:color="000000"/>
              <w:right w:val="single" w:sz="4" w:space="0" w:color="000000"/>
            </w:tcBorders>
            <w:shd w:val="clear" w:color="000000" w:fill="FFC0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Public Facilities Improvements Total</w:t>
            </w:r>
          </w:p>
        </w:tc>
        <w:tc>
          <w:tcPr>
            <w:tcW w:w="1440" w:type="dxa"/>
            <w:tcBorders>
              <w:top w:val="nil"/>
              <w:left w:val="nil"/>
              <w:bottom w:val="single" w:sz="4" w:space="0" w:color="000000"/>
              <w:right w:val="single" w:sz="4" w:space="0" w:color="000000"/>
            </w:tcBorders>
            <w:shd w:val="clear" w:color="000000" w:fill="FFC0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E2503A">
              <w:rPr>
                <w:rFonts w:eastAsia="Calibri" w:cs="Arial"/>
                <w:b/>
                <w:bCs/>
                <w:sz w:val="22"/>
                <w:szCs w:val="22"/>
              </w:rPr>
              <w:t>922,000</w:t>
            </w:r>
          </w:p>
        </w:tc>
        <w:tc>
          <w:tcPr>
            <w:tcW w:w="1350" w:type="dxa"/>
            <w:tcBorders>
              <w:top w:val="nil"/>
              <w:left w:val="nil"/>
              <w:bottom w:val="single" w:sz="4" w:space="0" w:color="000000"/>
              <w:right w:val="single" w:sz="4" w:space="0" w:color="000000"/>
            </w:tcBorders>
            <w:shd w:val="clear" w:color="000000" w:fill="FFFF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E2503A">
              <w:rPr>
                <w:rFonts w:eastAsia="Calibri" w:cs="Arial"/>
                <w:b/>
                <w:bCs/>
                <w:sz w:val="22"/>
                <w:szCs w:val="22"/>
              </w:rPr>
              <w:t>1,160,601</w:t>
            </w:r>
          </w:p>
        </w:tc>
        <w:tc>
          <w:tcPr>
            <w:tcW w:w="2378"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u w:val="single"/>
              </w:rPr>
            </w:pPr>
          </w:p>
        </w:tc>
      </w:tr>
      <w:tr w:rsidR="00CE6104" w:rsidRPr="00CE6104" w:rsidTr="00CE6104">
        <w:trPr>
          <w:trHeight w:val="890"/>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 </w:t>
            </w:r>
          </w:p>
        </w:tc>
        <w:tc>
          <w:tcPr>
            <w:tcW w:w="3690" w:type="dxa"/>
            <w:tcBorders>
              <w:top w:val="single" w:sz="4" w:space="0" w:color="000000"/>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Town of Longboat Key Infrastructure Surtax Project Grand Total</w:t>
            </w:r>
          </w:p>
        </w:tc>
        <w:tc>
          <w:tcPr>
            <w:tcW w:w="1440" w:type="dxa"/>
            <w:tcBorders>
              <w:top w:val="single" w:sz="4" w:space="0" w:color="000000"/>
              <w:left w:val="nil"/>
              <w:bottom w:val="single" w:sz="4" w:space="0" w:color="000000"/>
              <w:right w:val="single" w:sz="4" w:space="0" w:color="000000"/>
            </w:tcBorders>
            <w:shd w:val="clear" w:color="000000" w:fill="FFC0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E2503A">
              <w:rPr>
                <w:rFonts w:eastAsia="Calibri" w:cs="Arial"/>
                <w:b/>
                <w:bCs/>
                <w:sz w:val="22"/>
                <w:szCs w:val="22"/>
              </w:rPr>
              <w:t>9,562,737</w:t>
            </w:r>
          </w:p>
        </w:tc>
        <w:tc>
          <w:tcPr>
            <w:tcW w:w="1350" w:type="dxa"/>
            <w:tcBorders>
              <w:top w:val="single" w:sz="4" w:space="0" w:color="000000"/>
              <w:left w:val="nil"/>
              <w:bottom w:val="single" w:sz="4" w:space="0" w:color="000000"/>
              <w:right w:val="single" w:sz="4" w:space="0" w:color="000000"/>
            </w:tcBorders>
            <w:shd w:val="clear" w:color="000000" w:fill="FFFF00"/>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E2503A">
              <w:rPr>
                <w:rFonts w:eastAsia="Calibri" w:cs="Arial"/>
                <w:b/>
                <w:bCs/>
                <w:sz w:val="22"/>
                <w:szCs w:val="22"/>
              </w:rPr>
              <w:t>9,929,868</w:t>
            </w:r>
          </w:p>
        </w:tc>
        <w:tc>
          <w:tcPr>
            <w:tcW w:w="2378" w:type="dxa"/>
            <w:tcBorders>
              <w:top w:val="single" w:sz="4" w:space="0" w:color="000000"/>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p>
        </w:tc>
      </w:tr>
      <w:tr w:rsidR="00CE6104" w:rsidRPr="00CE6104" w:rsidTr="00CE6104">
        <w:trPr>
          <w:trHeight w:val="260"/>
        </w:trPr>
        <w:tc>
          <w:tcPr>
            <w:tcW w:w="2610" w:type="dxa"/>
            <w:tcBorders>
              <w:top w:val="nil"/>
              <w:left w:val="single" w:sz="4" w:space="0" w:color="000000"/>
              <w:bottom w:val="single" w:sz="4" w:space="0" w:color="000000"/>
              <w:right w:val="single" w:sz="4" w:space="0" w:color="000000"/>
            </w:tcBorders>
            <w:shd w:val="clear" w:color="auto" w:fill="auto"/>
            <w:hideMark/>
          </w:tcPr>
          <w:p w:rsidR="00CE6104" w:rsidRPr="00CE6104" w:rsidRDefault="00CE6104" w:rsidP="00CE6104">
            <w:pPr>
              <w:jc w:val="center"/>
              <w:rPr>
                <w:rFonts w:eastAsia="Calibri" w:cs="Arial"/>
                <w:b/>
                <w:bCs/>
                <w:szCs w:val="20"/>
              </w:rPr>
            </w:pPr>
            <w:r w:rsidRPr="00CE6104">
              <w:rPr>
                <w:rFonts w:eastAsia="Calibri" w:cs="Arial"/>
                <w:b/>
                <w:bCs/>
                <w:szCs w:val="20"/>
              </w:rPr>
              <w:t> </w:t>
            </w:r>
          </w:p>
        </w:tc>
        <w:tc>
          <w:tcPr>
            <w:tcW w:w="3690" w:type="dxa"/>
            <w:tcBorders>
              <w:top w:val="nil"/>
              <w:left w:val="nil"/>
              <w:bottom w:val="single" w:sz="4" w:space="0" w:color="000000"/>
              <w:right w:val="single" w:sz="4" w:space="0" w:color="000000"/>
            </w:tcBorders>
            <w:shd w:val="clear" w:color="auto" w:fill="auto"/>
            <w:hideMark/>
          </w:tcPr>
          <w:p w:rsidR="00CE6104" w:rsidRPr="00CE6104" w:rsidRDefault="00CE6104" w:rsidP="00CE6104">
            <w:pPr>
              <w:rPr>
                <w:rFonts w:eastAsia="Calibri" w:cs="Arial"/>
                <w:b/>
                <w:bCs/>
                <w:szCs w:val="20"/>
              </w:rPr>
            </w:pPr>
            <w:r w:rsidRPr="00CE6104">
              <w:rPr>
                <w:rFonts w:eastAsia="Calibri" w:cs="Arial"/>
                <w:b/>
                <w:bCs/>
                <w:szCs w:val="20"/>
              </w:rPr>
              <w:t> </w:t>
            </w:r>
          </w:p>
        </w:tc>
        <w:tc>
          <w:tcPr>
            <w:tcW w:w="1440" w:type="dxa"/>
            <w:tcBorders>
              <w:top w:val="nil"/>
              <w:left w:val="nil"/>
              <w:bottom w:val="single" w:sz="4" w:space="0" w:color="000000"/>
              <w:right w:val="single" w:sz="4" w:space="0" w:color="000000"/>
            </w:tcBorders>
            <w:shd w:val="clear" w:color="auto" w:fill="auto"/>
            <w:hideMark/>
          </w:tcPr>
          <w:p w:rsidR="00CE6104" w:rsidRPr="00CE6104" w:rsidRDefault="00CE6104" w:rsidP="00CE6104">
            <w:pPr>
              <w:rPr>
                <w:rFonts w:eastAsia="Calibri" w:cs="Arial"/>
                <w:b/>
                <w:bCs/>
                <w:szCs w:val="20"/>
              </w:rPr>
            </w:pPr>
            <w:r w:rsidRPr="00CE6104">
              <w:rPr>
                <w:rFonts w:eastAsia="Calibri" w:cs="Arial"/>
                <w:b/>
                <w:bCs/>
                <w:szCs w:val="20"/>
              </w:rPr>
              <w:t> </w:t>
            </w:r>
          </w:p>
        </w:tc>
        <w:tc>
          <w:tcPr>
            <w:tcW w:w="1350" w:type="dxa"/>
            <w:tcBorders>
              <w:top w:val="nil"/>
              <w:left w:val="nil"/>
              <w:bottom w:val="single" w:sz="4" w:space="0" w:color="000000"/>
              <w:right w:val="single" w:sz="4" w:space="0" w:color="000000"/>
            </w:tcBorders>
            <w:shd w:val="clear" w:color="auto" w:fill="auto"/>
            <w:hideMark/>
          </w:tcPr>
          <w:p w:rsidR="00CE6104" w:rsidRPr="00CE6104" w:rsidRDefault="00CE6104" w:rsidP="00CE6104">
            <w:pPr>
              <w:rPr>
                <w:rFonts w:eastAsia="Calibri" w:cs="Arial"/>
                <w:b/>
                <w:bCs/>
                <w:szCs w:val="20"/>
              </w:rPr>
            </w:pPr>
            <w:r w:rsidRPr="00CE6104">
              <w:rPr>
                <w:rFonts w:eastAsia="Calibri" w:cs="Arial"/>
                <w:b/>
                <w:bCs/>
                <w:szCs w:val="20"/>
              </w:rPr>
              <w:t> </w:t>
            </w:r>
          </w:p>
        </w:tc>
        <w:tc>
          <w:tcPr>
            <w:tcW w:w="2378" w:type="dxa"/>
            <w:tcBorders>
              <w:top w:val="nil"/>
              <w:left w:val="nil"/>
              <w:bottom w:val="single" w:sz="4" w:space="0" w:color="000000"/>
              <w:right w:val="single" w:sz="4" w:space="0" w:color="000000"/>
            </w:tcBorders>
            <w:shd w:val="clear" w:color="auto" w:fill="auto"/>
            <w:hideMark/>
          </w:tcPr>
          <w:p w:rsidR="00CE6104" w:rsidRPr="00CE6104" w:rsidRDefault="00CE6104" w:rsidP="00CE6104">
            <w:pPr>
              <w:rPr>
                <w:rFonts w:eastAsia="Calibri" w:cs="Arial"/>
                <w:b/>
                <w:bCs/>
                <w:szCs w:val="20"/>
              </w:rPr>
            </w:pPr>
          </w:p>
        </w:tc>
      </w:tr>
      <w:tr w:rsidR="00CE6104" w:rsidRPr="00CE6104" w:rsidTr="00CE6104">
        <w:trPr>
          <w:trHeight w:val="800"/>
        </w:trPr>
        <w:tc>
          <w:tcPr>
            <w:tcW w:w="2610" w:type="dxa"/>
            <w:tcBorders>
              <w:top w:val="nil"/>
              <w:left w:val="single" w:sz="4" w:space="0" w:color="000000"/>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 </w:t>
            </w:r>
          </w:p>
        </w:tc>
        <w:tc>
          <w:tcPr>
            <w:tcW w:w="369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Town of Longboat Key Estimated Infrastructure Surtax Revenue FY 2010-FY 202</w:t>
            </w:r>
            <w:r w:rsidR="00E2503A">
              <w:rPr>
                <w:rFonts w:eastAsia="Calibri" w:cs="Arial"/>
                <w:b/>
                <w:bCs/>
                <w:sz w:val="22"/>
                <w:szCs w:val="22"/>
              </w:rPr>
              <w:t>4</w:t>
            </w:r>
          </w:p>
        </w:tc>
        <w:tc>
          <w:tcPr>
            <w:tcW w:w="144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E2503A">
              <w:rPr>
                <w:rFonts w:eastAsia="Calibri" w:cs="Arial"/>
                <w:b/>
                <w:bCs/>
                <w:sz w:val="22"/>
                <w:szCs w:val="22"/>
              </w:rPr>
              <w:t>9,562,737</w:t>
            </w:r>
          </w:p>
        </w:tc>
        <w:tc>
          <w:tcPr>
            <w:tcW w:w="1350"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r w:rsidRPr="00CE6104">
              <w:rPr>
                <w:rFonts w:eastAsia="Calibri" w:cs="Arial"/>
                <w:b/>
                <w:bCs/>
                <w:sz w:val="22"/>
                <w:szCs w:val="22"/>
              </w:rPr>
              <w:t>$</w:t>
            </w:r>
            <w:r w:rsidR="00E2503A">
              <w:rPr>
                <w:rFonts w:eastAsia="Calibri" w:cs="Arial"/>
                <w:b/>
                <w:bCs/>
                <w:sz w:val="22"/>
                <w:szCs w:val="22"/>
              </w:rPr>
              <w:t>9,929,868</w:t>
            </w:r>
          </w:p>
        </w:tc>
        <w:tc>
          <w:tcPr>
            <w:tcW w:w="2378" w:type="dxa"/>
            <w:tcBorders>
              <w:top w:val="nil"/>
              <w:left w:val="nil"/>
              <w:bottom w:val="single" w:sz="4" w:space="0" w:color="000000"/>
              <w:right w:val="single" w:sz="4" w:space="0" w:color="000000"/>
            </w:tcBorders>
            <w:shd w:val="clear" w:color="auto" w:fill="auto"/>
            <w:vAlign w:val="center"/>
            <w:hideMark/>
          </w:tcPr>
          <w:p w:rsidR="00CE6104" w:rsidRPr="00CE6104" w:rsidRDefault="00CE6104" w:rsidP="00CE6104">
            <w:pPr>
              <w:rPr>
                <w:rFonts w:eastAsia="Calibri" w:cs="Arial"/>
                <w:b/>
                <w:bCs/>
                <w:sz w:val="22"/>
                <w:szCs w:val="22"/>
              </w:rPr>
            </w:pPr>
          </w:p>
        </w:tc>
      </w:tr>
    </w:tbl>
    <w:p w:rsidR="00CE6104" w:rsidRDefault="00CE6104" w:rsidP="00CE6104">
      <w:pPr>
        <w:spacing w:after="160" w:line="259" w:lineRule="auto"/>
      </w:pPr>
    </w:p>
    <w:sectPr w:rsidR="00CE6104" w:rsidSect="006110F0">
      <w:headerReference w:type="default" r:id="rId12"/>
      <w:headerReference w:type="first" r:id="rId13"/>
      <w:pgSz w:w="12240" w:h="15840"/>
      <w:pgMar w:top="1152" w:right="1296" w:bottom="864" w:left="1440" w:header="144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D94" w:rsidRDefault="00B07D94" w:rsidP="002A5573">
      <w:r>
        <w:separator/>
      </w:r>
    </w:p>
  </w:endnote>
  <w:endnote w:type="continuationSeparator" w:id="0">
    <w:p w:rsidR="00B07D94" w:rsidRDefault="00B07D94" w:rsidP="002A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0F0" w:rsidRDefault="00611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38" w:rsidRDefault="002A5573" w:rsidP="001A6148">
    <w:pPr>
      <w:tabs>
        <w:tab w:val="center" w:pos="4500"/>
        <w:tab w:val="right" w:pos="9504"/>
      </w:tabs>
    </w:pPr>
    <w:r>
      <w:tab/>
      <w:t xml:space="preserve">Page </w:t>
    </w:r>
    <w:r>
      <w:fldChar w:fldCharType="begin"/>
    </w:r>
    <w:r>
      <w:instrText xml:space="preserve"> PAGE </w:instrText>
    </w:r>
    <w:r>
      <w:fldChar w:fldCharType="separate"/>
    </w:r>
    <w:r w:rsidR="00C57AA4">
      <w:rPr>
        <w:noProof/>
      </w:rPr>
      <w:t>2</w:t>
    </w:r>
    <w:r>
      <w:rPr>
        <w:noProof/>
      </w:rPr>
      <w:fldChar w:fldCharType="end"/>
    </w:r>
    <w:r>
      <w:t xml:space="preserve"> of </w:t>
    </w:r>
    <w:r w:rsidR="006110F0">
      <w:t>3</w:t>
    </w:r>
    <w:r>
      <w:tab/>
      <w:t>Resolution 2021-</w:t>
    </w:r>
    <w:r w:rsidR="00CE6104">
      <w:t>1</w:t>
    </w: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0F0" w:rsidRPr="006110F0" w:rsidRDefault="006110F0" w:rsidP="006110F0">
    <w:pPr>
      <w:tabs>
        <w:tab w:val="center" w:pos="4500"/>
        <w:tab w:val="right" w:pos="9504"/>
      </w:tabs>
    </w:pPr>
    <w:r>
      <w:tab/>
      <w:t xml:space="preserve">Page </w:t>
    </w:r>
    <w:r>
      <w:fldChar w:fldCharType="begin"/>
    </w:r>
    <w:r>
      <w:instrText xml:space="preserve"> PAGE </w:instrText>
    </w:r>
    <w:r>
      <w:fldChar w:fldCharType="separate"/>
    </w:r>
    <w:r w:rsidR="006B46C6">
      <w:rPr>
        <w:noProof/>
      </w:rPr>
      <w:t>1</w:t>
    </w:r>
    <w:r>
      <w:rPr>
        <w:noProof/>
      </w:rPr>
      <w:fldChar w:fldCharType="end"/>
    </w:r>
    <w:r>
      <w:t xml:space="preserve"> of 3</w:t>
    </w:r>
    <w:r>
      <w:tab/>
      <w:t>Resolution 2021-13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D94" w:rsidRDefault="00B07D94" w:rsidP="002A5573">
      <w:r>
        <w:separator/>
      </w:r>
    </w:p>
  </w:footnote>
  <w:footnote w:type="continuationSeparator" w:id="0">
    <w:p w:rsidR="00B07D94" w:rsidRDefault="00B07D94" w:rsidP="002A5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0F0" w:rsidRDefault="00611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0F0" w:rsidRDefault="00611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0F0" w:rsidRDefault="006110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0F0" w:rsidRPr="006110F0" w:rsidRDefault="006110F0" w:rsidP="006110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0F0" w:rsidRDefault="006110F0" w:rsidP="006110F0">
    <w:pPr>
      <w:pStyle w:val="Header"/>
      <w:jc w:val="center"/>
      <w:rPr>
        <w:rFonts w:cs="Arial"/>
      </w:rPr>
    </w:pPr>
    <w:r>
      <w:t>EXHIBIT “A”</w:t>
    </w:r>
  </w:p>
  <w:p w:rsidR="006110F0" w:rsidRDefault="006110F0" w:rsidP="006110F0">
    <w:pPr>
      <w:pStyle w:val="Header"/>
      <w:jc w:val="center"/>
    </w:pPr>
  </w:p>
  <w:p w:rsidR="006110F0" w:rsidRDefault="006110F0" w:rsidP="006110F0">
    <w:pPr>
      <w:pStyle w:val="Header"/>
      <w:jc w:val="center"/>
    </w:pPr>
    <w:r>
      <w:t>EXHIBIT “F”</w:t>
    </w:r>
  </w:p>
  <w:p w:rsidR="006110F0" w:rsidRDefault="006110F0" w:rsidP="006110F0">
    <w:pPr>
      <w:pStyle w:val="Header"/>
      <w:jc w:val="center"/>
    </w:pPr>
    <w:r>
      <w:t>TOWN OF LONGBOAT KEY PROJECTS LIST</w:t>
    </w:r>
  </w:p>
  <w:p w:rsidR="006110F0" w:rsidRDefault="006110F0" w:rsidP="006110F0">
    <w:pPr>
      <w:pStyle w:val="Header"/>
      <w:jc w:val="center"/>
    </w:pPr>
    <w:r>
      <w:t>FOR INFRASTRUCTURE SURTAX  FY 2010 - FY 2024</w:t>
    </w:r>
  </w:p>
  <w:p w:rsidR="006110F0" w:rsidRDefault="006110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573"/>
    <w:rsid w:val="001329B5"/>
    <w:rsid w:val="00163FA7"/>
    <w:rsid w:val="00176658"/>
    <w:rsid w:val="001B1980"/>
    <w:rsid w:val="002A5573"/>
    <w:rsid w:val="0030026F"/>
    <w:rsid w:val="00301EDC"/>
    <w:rsid w:val="003F6A02"/>
    <w:rsid w:val="0040370A"/>
    <w:rsid w:val="004D05B1"/>
    <w:rsid w:val="00536DFF"/>
    <w:rsid w:val="005606F4"/>
    <w:rsid w:val="005D25A8"/>
    <w:rsid w:val="006110F0"/>
    <w:rsid w:val="006B46C6"/>
    <w:rsid w:val="006C7373"/>
    <w:rsid w:val="00780017"/>
    <w:rsid w:val="007F118C"/>
    <w:rsid w:val="008431C4"/>
    <w:rsid w:val="008460D2"/>
    <w:rsid w:val="009C2AD2"/>
    <w:rsid w:val="009E2C3F"/>
    <w:rsid w:val="00A8628D"/>
    <w:rsid w:val="00B07D94"/>
    <w:rsid w:val="00C04EC0"/>
    <w:rsid w:val="00C57AA4"/>
    <w:rsid w:val="00CE6104"/>
    <w:rsid w:val="00D212A2"/>
    <w:rsid w:val="00D25438"/>
    <w:rsid w:val="00D51CA5"/>
    <w:rsid w:val="00E2503A"/>
    <w:rsid w:val="00F5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FB7E01"/>
  <w15:chartTrackingRefBased/>
  <w15:docId w15:val="{4B1CB998-F59F-4B57-B244-78CB6B74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
        <w:sz w:val="3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573"/>
    <w:pPr>
      <w:spacing w:after="0" w:line="240" w:lineRule="auto"/>
    </w:pPr>
    <w:rPr>
      <w:rFonts w:ascii="Arial" w:eastAsia="Times New Roman" w:hAnsi="Arial" w:cs="Times New Roman"/>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A5573"/>
    <w:pPr>
      <w:overflowPunct w:val="0"/>
      <w:autoSpaceDE w:val="0"/>
      <w:autoSpaceDN w:val="0"/>
      <w:adjustRightInd w:val="0"/>
      <w:spacing w:after="160"/>
      <w:textAlignment w:val="baseline"/>
    </w:pPr>
    <w:rPr>
      <w:szCs w:val="20"/>
    </w:rPr>
  </w:style>
  <w:style w:type="character" w:customStyle="1" w:styleId="BodyTextChar">
    <w:name w:val="Body Text Char"/>
    <w:basedOn w:val="DefaultParagraphFont"/>
    <w:link w:val="BodyText"/>
    <w:semiHidden/>
    <w:rsid w:val="002A5573"/>
    <w:rPr>
      <w:rFonts w:ascii="Arial" w:eastAsia="Times New Roman" w:hAnsi="Arial" w:cs="Times New Roman"/>
      <w:b w:val="0"/>
      <w:sz w:val="24"/>
      <w:szCs w:val="20"/>
    </w:rPr>
  </w:style>
  <w:style w:type="paragraph" w:styleId="Header">
    <w:name w:val="header"/>
    <w:basedOn w:val="Normal"/>
    <w:link w:val="HeaderChar"/>
    <w:uiPriority w:val="99"/>
    <w:unhideWhenUsed/>
    <w:rsid w:val="002A5573"/>
    <w:pPr>
      <w:tabs>
        <w:tab w:val="center" w:pos="4680"/>
        <w:tab w:val="right" w:pos="9360"/>
      </w:tabs>
    </w:pPr>
  </w:style>
  <w:style w:type="character" w:customStyle="1" w:styleId="HeaderChar">
    <w:name w:val="Header Char"/>
    <w:basedOn w:val="DefaultParagraphFont"/>
    <w:link w:val="Header"/>
    <w:uiPriority w:val="99"/>
    <w:rsid w:val="002A5573"/>
    <w:rPr>
      <w:rFonts w:ascii="Arial" w:eastAsia="Times New Roman" w:hAnsi="Arial" w:cs="Times New Roman"/>
      <w:b w:val="0"/>
      <w:sz w:val="24"/>
      <w:szCs w:val="24"/>
    </w:rPr>
  </w:style>
  <w:style w:type="paragraph" w:styleId="Footer">
    <w:name w:val="footer"/>
    <w:basedOn w:val="Normal"/>
    <w:link w:val="FooterChar"/>
    <w:uiPriority w:val="99"/>
    <w:unhideWhenUsed/>
    <w:rsid w:val="002A5573"/>
    <w:pPr>
      <w:tabs>
        <w:tab w:val="center" w:pos="4680"/>
        <w:tab w:val="right" w:pos="9360"/>
      </w:tabs>
    </w:pPr>
  </w:style>
  <w:style w:type="character" w:customStyle="1" w:styleId="FooterChar">
    <w:name w:val="Footer Char"/>
    <w:basedOn w:val="DefaultParagraphFont"/>
    <w:link w:val="Footer"/>
    <w:uiPriority w:val="99"/>
    <w:rsid w:val="002A5573"/>
    <w:rPr>
      <w:rFonts w:ascii="Arial" w:eastAsia="Times New Roman" w:hAnsi="Arial" w:cs="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Lowe-Mains</dc:creator>
  <cp:keywords/>
  <dc:description/>
  <cp:lastModifiedBy>Trish Shinkle</cp:lastModifiedBy>
  <cp:revision>4</cp:revision>
  <cp:lastPrinted>2021-07-01T18:04:00Z</cp:lastPrinted>
  <dcterms:created xsi:type="dcterms:W3CDTF">2021-05-25T15:50:00Z</dcterms:created>
  <dcterms:modified xsi:type="dcterms:W3CDTF">2021-07-01T18:04:00Z</dcterms:modified>
</cp:coreProperties>
</file>