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3" Target="docProps/app.xml" Type="http://schemas.openxmlformats.org/officeDocument/2006/relationships/extended-propertie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sectPr w:rsidR="00DA3C46">
      <w:pgSz w:h="16845" w:w="11895"/>
      <w:pgMar w:bottom="1134" w:footer="708" w:gutter="0" w:header="708" w:left="1701" w:right="850" w:top="1134"/>
      <w:cols w:space="708"/>
      <w:docGrid w:linePitch="360"/>
    </w:sectPr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</w:t>
      </w:r>
      <w:r>
        <w:rPr>
          <w:rFonts w:ascii="Times New Roman"/>
          <w:sz w:val="36"/>
          <w:color w:val="000000"/>
          <w:b w:val="1"/>
        </w:rPr>
        <w:t>AGENDA AND PUBLIC NOTICE</w:t>
      </w: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THERE WILL BE A PUBLIC MEETING OF THE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CITIZEN TAX OVERSIGHT COMMITTEE 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 xml:space="preserve">	ON </w:t>
      </w:r>
      <w:r>
        <w:rPr>
          <w:rFonts w:ascii="Times New Roman"/>
          <w:sz w:val="21"/>
          <w:color w:val="000000"/>
        </w:rPr>
        <w:t>April 28,2015 AT 1:00 P.M.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IN THE TOWN HALL CHAMBER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501 BAY ISLES ROAD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LONGBOAT KEY, FLORIDA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	AGENDA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_______________________________________________________________ </w:t>
      </w:r>
    </w:p>
    <w:p>
      <w:pPr>
        <w:ind w:end="0" w:start="36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ind w:end="0" w:start="540"/>
        <w:spacing w:after="0" w:before="0"/>
        <w:jc w:val="left"/>
        <w:numPr>
          <w:ilvl w:val="0"/>
          <w:numId w:val="1"/>
        </w:numPr>
      </w:pPr>
      <w:r>
        <w:rPr>
          <w:rFonts w:ascii="Times New Roman"/>
          <w:sz w:val="22"/>
          <w:color w:val="000000"/>
        </w:rPr>
        <w:t>Approve Minutes. </w:t>
      </w:r>
    </w:p>
    <w:p>
      <w:pPr>
        <w:ind w:end="0" w:start="63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Finance Director’s Report </w:t>
      </w:r>
    </w:p>
    <w:p>
      <w:pPr>
        <w:ind w:end="0" w:start="72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ind w:end="0" w:start="540"/>
        <w:spacing w:after="0" w:before="0"/>
        <w:jc w:val="left"/>
        <w:numPr>
          <w:ilvl w:val="0"/>
          <w:numId w:val="2"/>
        </w:numPr>
      </w:pPr>
      <w:r>
        <w:rPr>
          <w:rFonts w:ascii="Times New Roman"/>
          <w:sz w:val="22"/>
          <w:color w:val="000000"/>
        </w:rPr>
        <w:t>Revi</w:t>
      </w:r>
      <w:r>
        <w:rPr>
          <w:rFonts w:ascii="Times New Roman"/>
          <w:sz w:val="22"/>
          <w:color w:val="000000"/>
        </w:rPr>
        <w:t>ew of Tasks of the Committee.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Review Town process and compliance.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P</w:t>
      </w:r>
      <w:r>
        <w:rPr>
          <w:rFonts w:ascii="Times New Roman"/>
          <w:sz w:val="22"/>
          <w:color w:val="000000"/>
        </w:rPr>
        <w:t xml:space="preserve">resent </w:t>
      </w:r>
      <w:r>
        <w:rPr>
          <w:rFonts w:ascii="Times New Roman"/>
          <w:sz w:val="22"/>
          <w:color w:val="000000"/>
        </w:rPr>
        <w:t>Audited Financial Reports of Infrastructure Surtax</w:t>
      </w:r>
      <w:r>
        <w:rPr>
          <w:rFonts w:ascii="Times New Roman"/>
          <w:sz w:val="22"/>
          <w:color w:val="000000"/>
        </w:rPr>
        <w:t xml:space="preserve"> </w:t>
      </w:r>
      <w:r>
        <w:rPr>
          <w:rFonts w:ascii="Times New Roman"/>
          <w:sz w:val="22"/>
          <w:color w:val="000000"/>
        </w:rPr>
        <w:t xml:space="preserve">for the Fiscal Year </w:t>
      </w:r>
      <w:r>
        <w:rPr>
          <w:rFonts w:ascii="Times New Roman"/>
          <w:sz w:val="22"/>
          <w:color w:val="000000"/>
        </w:rPr>
        <w:t>E</w:t>
      </w:r>
      <w:r>
        <w:rPr>
          <w:rFonts w:ascii="Times New Roman"/>
          <w:sz w:val="22"/>
          <w:color w:val="000000"/>
        </w:rPr>
        <w:t>nded September 30, 20</w:t>
      </w:r>
      <w:r>
        <w:rPr>
          <w:rFonts w:ascii="Times New Roman"/>
          <w:sz w:val="22"/>
          <w:color w:val="000000"/>
        </w:rPr>
        <w:t>1</w:t>
      </w:r>
      <w:r>
        <w:rPr>
          <w:rFonts w:ascii="Times New Roman"/>
          <w:sz w:val="22"/>
          <w:color w:val="000000"/>
        </w:rPr>
        <w:t>4</w:t>
      </w:r>
      <w:r>
        <w:rPr>
          <w:rFonts w:ascii="Times New Roman"/>
          <w:sz w:val="22"/>
          <w:color w:val="000000"/>
        </w:rPr>
        <w:t>.</w:t>
      </w: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2"/>
        </w:numPr>
        <w:ind w:end="0" w:start="540"/>
        <w:spacing w:after="0" w:before="0"/>
        <w:jc w:val="left"/>
      </w:pPr>
      <w:r>
        <w:rPr>
          <w:rFonts w:ascii="Times New Roman"/>
          <w:sz w:val="22"/>
          <w:color w:val="000000"/>
        </w:rPr>
        <w:t xml:space="preserve">Project Commitments FY </w:t>
      </w:r>
      <w:r>
        <w:rPr>
          <w:rFonts w:ascii="Times New Roman"/>
          <w:sz w:val="22"/>
          <w:color w:val="000000"/>
        </w:rPr>
        <w:t>2014-2015</w:t>
      </w:r>
      <w:r>
        <w:rPr>
          <w:rFonts w:ascii="Times New Roman"/>
          <w:sz w:val="22"/>
          <w:color w:val="000000"/>
        </w:rPr>
        <w:t>. </w:t>
      </w:r>
    </w:p>
    <w:p>
      <w:pPr>
        <w:ind w:end="0" w:start="720"/>
        <w:spacing w:after="0" w:before="0"/>
        <w:jc w:val="left"/>
      </w:pPr>
      <w:r>
        <w:rPr>
          <w:rFonts w:ascii="Times New Roman"/>
          <w:sz w:val="22"/>
          <w:color w:val="000000"/>
        </w:rPr>
        <w:t> </w:t>
      </w:r>
    </w:p>
    <w:p>
      <w:pPr>
        <w:numPr>
          <w:ilvl w:val="0"/>
          <w:numId w:val="1"/>
        </w:numPr>
        <w:ind w:end="630" w:start="540"/>
        <w:spacing w:after="0" w:before="0"/>
        <w:jc w:val="left"/>
      </w:pPr>
      <w:r>
        <w:rPr>
          <w:rFonts w:ascii="Times New Roman"/>
          <w:sz w:val="22"/>
          <w:color w:val="000000"/>
        </w:rPr>
        <w:t>Committee Comments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left"/>
      </w:pPr>
      <w:r>
        <w:rPr>
          <w:rFonts w:ascii="Times New Roman"/>
          <w:sz w:val="21"/>
          <w:color w:val="000000"/>
        </w:rPr>
        <w:t>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No verbatim record by a certified court reporter is made of these proceedings. Accordingly, any person who may seek to appeal any decision involving the matters noticed herein will be responsible for making a verbatim record of the testimony and evidence at these proceedings upon which any appeal is to be based (see Section 286.0105, Fla. Stat.). 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 </w:t>
      </w:r>
    </w:p>
    <w:p>
      <w:pPr>
        <w:ind w:end="0" w:start="0"/>
        <w:spacing w:after="0" w:before="0"/>
        <w:jc w:val="both"/>
      </w:pPr>
      <w:r>
        <w:rPr>
          <w:rFonts w:ascii="Times New Roman"/>
          <w:sz w:val="18"/>
          <w:color w:val="000000"/>
        </w:rPr>
        <w:t>In accordance with the Americans with Disabilities Act and Section 286.26, F.S., persons needing a special accommodation to participate in this proceeding should contact the Town Clerk’s office at 941-316-1999 forty-eight (48) hours in advance of this proceeding.  If you are hearing impaired, please call 941-373-7002. </w:t>
      </w:r>
    </w:p>
  </w:body>
</w:document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>
    <w:multiLevelType w:val="multilevel"/>
    <w:lvl w:ilvl="0">
      <w:start w:val="1"/>
      <w:lvlText w:val="%1."/>
      <w:numFmt w:val="decimal"/>
      <w:pPr>
        <w:tabs>
          <w:tab w:pos="720" w:val="num"/>
        </w:tabs>
        <w:ind w:hanging="360" w:left="720"/>
      </w:pPr>
    </w:lvl>
  </w:abstractNum>
  <w:num w:numId="1">
    <w:abstractNumId w:val="0"/>
  </w:num>
  <w:abstractNum w:abstractNumId="1">
    <w:multiLevelType w:val="multilevel"/>
    <w:lvl w:ilvl="0">
      <w:start w:val="1"/>
      <w:lvlText w:val="%1."/>
      <w:numFmt w:val="lowerLetter"/>
      <w:pPr>
        <w:tabs>
          <w:tab w:pos="720" w:val="num"/>
        </w:tabs>
        <w:ind w:hanging="360" w:left="720"/>
      </w:pPr>
    </w:lvl>
  </w:abstractNum>
  <w:num w:numId="2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/>
    </w:rPrDefault>
    <w:pPrDefault>
      <w:pPr/>
    </w:pPrDefault>
  </w:docDefault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baseType="variant" size="2">
      <vt:variant>
        <vt:lpstr/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1</cp:revision>
  <dcterms:created xsi:type="dcterms:W3CDTF">2024-09-04T11:14:06Z</dcterms:created>
  <dcterms:modified xsi:type="dcterms:W3CDTF">2024-09-04T11:14:06Z</dcterms:modified>
</cp:coreProperties>
</file>