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087F6" w14:textId="77777777" w:rsidR="00FA68C8" w:rsidRDefault="00FA68C8" w:rsidP="00FA68C8">
      <w:pPr>
        <w:spacing w:after="0"/>
        <w:rPr>
          <w:rFonts w:ascii="Agency FB" w:hAnsi="Agency FB"/>
          <w:color w:val="002060"/>
          <w:sz w:val="60"/>
          <w:szCs w:val="60"/>
        </w:rPr>
      </w:pPr>
      <w:r w:rsidRPr="00AA6A28">
        <w:rPr>
          <w:rFonts w:ascii="Agency FB" w:hAnsi="Agency FB"/>
          <w:color w:val="002060"/>
          <w:sz w:val="60"/>
          <w:szCs w:val="60"/>
        </w:rPr>
        <w:t xml:space="preserve">Longboat Key </w:t>
      </w:r>
    </w:p>
    <w:p w14:paraId="666CB338" w14:textId="32BAA731" w:rsidR="00FA68C8" w:rsidRPr="00AA6A28" w:rsidRDefault="00FA68C8" w:rsidP="00FA68C8">
      <w:pPr>
        <w:rPr>
          <w:rFonts w:ascii="Agency FB" w:hAnsi="Agency FB"/>
          <w:color w:val="002060"/>
          <w:sz w:val="60"/>
          <w:szCs w:val="60"/>
        </w:rPr>
      </w:pPr>
      <w:r w:rsidRPr="00AA6A28">
        <w:rPr>
          <w:rFonts w:ascii="Agency FB" w:hAnsi="Agency FB"/>
          <w:color w:val="002060"/>
          <w:sz w:val="60"/>
          <w:szCs w:val="60"/>
        </w:rPr>
        <w:t xml:space="preserve">Canal </w:t>
      </w:r>
      <w:r w:rsidR="001C1219">
        <w:rPr>
          <w:rFonts w:ascii="Agency FB" w:hAnsi="Agency FB"/>
          <w:color w:val="002060"/>
          <w:sz w:val="60"/>
          <w:szCs w:val="60"/>
        </w:rPr>
        <w:t xml:space="preserve">Navigational </w:t>
      </w:r>
      <w:r w:rsidRPr="00AA6A28">
        <w:rPr>
          <w:rFonts w:ascii="Agency FB" w:hAnsi="Agency FB"/>
          <w:color w:val="002060"/>
          <w:sz w:val="60"/>
          <w:szCs w:val="60"/>
        </w:rPr>
        <w:t>Maintenance Assessment Program</w:t>
      </w:r>
    </w:p>
    <w:p w14:paraId="28716049" w14:textId="77777777" w:rsidR="00084E8D" w:rsidRDefault="00084E8D"/>
    <w:p w14:paraId="2CBCCD0A" w14:textId="77777777" w:rsidR="00FA68C8" w:rsidRDefault="00FA68C8" w:rsidP="001C1219">
      <w:pPr>
        <w:spacing w:after="0"/>
      </w:pPr>
    </w:p>
    <w:p w14:paraId="06DC40BD" w14:textId="0CCAAFB2" w:rsidR="00FA68C8" w:rsidRPr="00FA68C8" w:rsidRDefault="00FA68C8" w:rsidP="001C1219">
      <w:pPr>
        <w:spacing w:after="0"/>
        <w:rPr>
          <w:rFonts w:ascii="Franklin Gothic Demi" w:hAnsi="Franklin Gothic Demi"/>
          <w:sz w:val="26"/>
          <w:szCs w:val="26"/>
        </w:rPr>
      </w:pPr>
      <w:r w:rsidRPr="00FA68C8">
        <w:rPr>
          <w:rFonts w:ascii="Franklin Gothic Demi" w:hAnsi="Franklin Gothic Demi"/>
          <w:sz w:val="26"/>
          <w:szCs w:val="26"/>
        </w:rPr>
        <w:t>DEFINITIONS</w:t>
      </w:r>
    </w:p>
    <w:p w14:paraId="7F6FA71D" w14:textId="77777777" w:rsidR="00FA68C8" w:rsidRDefault="00FA68C8" w:rsidP="001C1219">
      <w:pPr>
        <w:spacing w:after="0"/>
      </w:pPr>
    </w:p>
    <w:p w14:paraId="19810485" w14:textId="77777777" w:rsidR="001C1219" w:rsidRDefault="001C1219" w:rsidP="001C1219">
      <w:pPr>
        <w:spacing w:after="0"/>
      </w:pPr>
    </w:p>
    <w:p w14:paraId="0B52A347" w14:textId="77777777" w:rsidR="00BC2EB6" w:rsidRDefault="00BC2EB6" w:rsidP="001C1219">
      <w:pPr>
        <w:spacing w:after="0"/>
        <w:rPr>
          <w:rFonts w:eastAsia="Times New Roman" w:cs="Times New Roman"/>
          <w:kern w:val="0"/>
          <w14:ligatures w14:val="none"/>
        </w:rPr>
      </w:pPr>
      <w:r w:rsidRPr="00BC2EB6">
        <w:rPr>
          <w:rFonts w:ascii="Franklin Gothic Demi" w:hAnsi="Franklin Gothic Demi"/>
        </w:rPr>
        <w:t xml:space="preserve">Tax </w:t>
      </w:r>
      <w:r w:rsidR="00FA68C8" w:rsidRPr="00BC2EB6">
        <w:rPr>
          <w:rFonts w:ascii="Franklin Gothic Demi" w:hAnsi="Franklin Gothic Demi"/>
        </w:rPr>
        <w:t>Parcel</w:t>
      </w:r>
      <w:r w:rsidR="00FA68C8" w:rsidRPr="00BC2EB6">
        <w:t xml:space="preserve"> -- </w:t>
      </w:r>
      <w:r w:rsidRPr="00BC2EB6">
        <w:rPr>
          <w:rFonts w:eastAsia="Times New Roman" w:cs="Times New Roman"/>
          <w:kern w:val="0"/>
          <w14:ligatures w14:val="none"/>
        </w:rPr>
        <w:t>means a parcel of real property to which the Property Appraiser has assigned a distinct ad valorem property tax identification number.</w:t>
      </w:r>
    </w:p>
    <w:p w14:paraId="2A7518E5" w14:textId="77777777" w:rsidR="00D56AB5" w:rsidRPr="00BC2EB6" w:rsidRDefault="00D56AB5" w:rsidP="001C1219">
      <w:pPr>
        <w:spacing w:after="0"/>
        <w:rPr>
          <w:rFonts w:eastAsia="Times New Roman" w:cs="Times New Roman"/>
          <w:kern w:val="0"/>
          <w14:ligatures w14:val="none"/>
        </w:rPr>
      </w:pPr>
    </w:p>
    <w:p w14:paraId="5C374360" w14:textId="77777777" w:rsidR="00BC2EB6" w:rsidRPr="00BC2EB6" w:rsidRDefault="00BC2EB6" w:rsidP="001C1219">
      <w:pPr>
        <w:spacing w:after="0"/>
        <w:rPr>
          <w:rFonts w:eastAsia="Times New Roman" w:cs="Times New Roman"/>
          <w:kern w:val="0"/>
          <w14:ligatures w14:val="none"/>
        </w:rPr>
      </w:pPr>
      <w:r w:rsidRPr="00BC2EB6">
        <w:rPr>
          <w:rFonts w:ascii="Franklin Gothic Demi" w:hAnsi="Franklin Gothic Demi"/>
        </w:rPr>
        <w:t xml:space="preserve">Lot </w:t>
      </w:r>
      <w:r w:rsidRPr="00BC2EB6">
        <w:t xml:space="preserve">-- </w:t>
      </w:r>
      <w:r w:rsidRPr="00BC2EB6">
        <w:rPr>
          <w:rFonts w:eastAsia="Times New Roman" w:cs="Times New Roman"/>
          <w:kern w:val="0"/>
          <w14:ligatures w14:val="none"/>
        </w:rPr>
        <w:t>means a building lot described on a map or plat recorded in the County’s Official Records.</w:t>
      </w:r>
    </w:p>
    <w:p w14:paraId="17FDA4AB" w14:textId="77777777" w:rsidR="00BC2EB6" w:rsidRPr="004217F1" w:rsidRDefault="00BC2EB6" w:rsidP="001C1219">
      <w:pPr>
        <w:spacing w:after="0"/>
      </w:pPr>
    </w:p>
    <w:p w14:paraId="5626E8D6" w14:textId="3A955F1E" w:rsidR="00FA68C8" w:rsidRPr="004217F1" w:rsidRDefault="00FA68C8" w:rsidP="001C1219">
      <w:pPr>
        <w:spacing w:after="0"/>
      </w:pPr>
      <w:r w:rsidRPr="004217F1">
        <w:rPr>
          <w:rFonts w:ascii="Franklin Gothic Demi" w:hAnsi="Franklin Gothic Demi"/>
        </w:rPr>
        <w:t>Abutting Parcel</w:t>
      </w:r>
      <w:r w:rsidRPr="004217F1">
        <w:t xml:space="preserve"> </w:t>
      </w:r>
      <w:r w:rsidR="004217F1" w:rsidRPr="004217F1">
        <w:t>–</w:t>
      </w:r>
      <w:r w:rsidRPr="004217F1">
        <w:t xml:space="preserve"> </w:t>
      </w:r>
      <w:r w:rsidR="00974420">
        <w:t xml:space="preserve">a parcel of land that is located </w:t>
      </w:r>
      <w:r w:rsidR="004217F1" w:rsidRPr="004217F1">
        <w:rPr>
          <w:color w:val="111111"/>
          <w:shd w:val="clear" w:color="auto" w:fill="FFFFFF"/>
        </w:rPr>
        <w:t>next to a canal</w:t>
      </w:r>
      <w:r w:rsidR="00974420">
        <w:rPr>
          <w:color w:val="111111"/>
          <w:shd w:val="clear" w:color="auto" w:fill="FFFFFF"/>
        </w:rPr>
        <w:t xml:space="preserve"> </w:t>
      </w:r>
      <w:r w:rsidR="00974420" w:rsidRPr="00DC6AD6">
        <w:rPr>
          <w:color w:val="111111"/>
          <w:shd w:val="clear" w:color="auto" w:fill="FFFFFF"/>
        </w:rPr>
        <w:t xml:space="preserve">or </w:t>
      </w:r>
      <w:r w:rsidR="00D56AB5" w:rsidRPr="00DC6AD6">
        <w:rPr>
          <w:color w:val="111111"/>
          <w:shd w:val="clear" w:color="auto" w:fill="FFFFFF"/>
        </w:rPr>
        <w:t xml:space="preserve">a parcel </w:t>
      </w:r>
      <w:r w:rsidR="00974420" w:rsidRPr="00DC6AD6">
        <w:rPr>
          <w:color w:val="111111"/>
          <w:shd w:val="clear" w:color="auto" w:fill="FFFFFF"/>
        </w:rPr>
        <w:t xml:space="preserve">that has access to </w:t>
      </w:r>
      <w:r w:rsidR="00D56AB5" w:rsidRPr="00DC6AD6">
        <w:rPr>
          <w:color w:val="111111"/>
          <w:shd w:val="clear" w:color="auto" w:fill="FFFFFF"/>
        </w:rPr>
        <w:t xml:space="preserve">commonly owned </w:t>
      </w:r>
      <w:r w:rsidR="00974420" w:rsidRPr="00DC6AD6">
        <w:rPr>
          <w:color w:val="111111"/>
          <w:shd w:val="clear" w:color="auto" w:fill="FFFFFF"/>
        </w:rPr>
        <w:t xml:space="preserve">amenities owned by a </w:t>
      </w:r>
      <w:proofErr w:type="gramStart"/>
      <w:r w:rsidR="00974420" w:rsidRPr="00DC6AD6">
        <w:rPr>
          <w:color w:val="111111"/>
          <w:shd w:val="clear" w:color="auto" w:fill="FFFFFF"/>
        </w:rPr>
        <w:t>homeowners</w:t>
      </w:r>
      <w:proofErr w:type="gramEnd"/>
      <w:r w:rsidR="00974420" w:rsidRPr="00DC6AD6">
        <w:rPr>
          <w:color w:val="111111"/>
          <w:shd w:val="clear" w:color="auto" w:fill="FFFFFF"/>
        </w:rPr>
        <w:t xml:space="preserve"> association or condominium association for which they are a member.</w:t>
      </w:r>
      <w:r w:rsidR="00974420">
        <w:rPr>
          <w:color w:val="111111"/>
          <w:shd w:val="clear" w:color="auto" w:fill="FFFFFF"/>
        </w:rPr>
        <w:t xml:space="preserve"> </w:t>
      </w:r>
      <w:r w:rsidR="004217F1" w:rsidRPr="004217F1">
        <w:rPr>
          <w:color w:val="111111"/>
          <w:shd w:val="clear" w:color="auto" w:fill="FFFFFF"/>
        </w:rPr>
        <w:t xml:space="preserve"> </w:t>
      </w:r>
    </w:p>
    <w:p w14:paraId="1F6EFBA9" w14:textId="77777777" w:rsidR="00FA68C8" w:rsidRPr="004217F1" w:rsidRDefault="00FA68C8" w:rsidP="001C1219">
      <w:pPr>
        <w:spacing w:after="0"/>
      </w:pPr>
    </w:p>
    <w:p w14:paraId="70119CFC" w14:textId="7838BDAA" w:rsidR="00FA68C8" w:rsidRPr="004217F1" w:rsidRDefault="00FA68C8" w:rsidP="001C1219">
      <w:pPr>
        <w:spacing w:after="0"/>
      </w:pPr>
      <w:r w:rsidRPr="004217F1">
        <w:rPr>
          <w:rFonts w:ascii="Franklin Gothic Demi" w:hAnsi="Franklin Gothic Demi"/>
        </w:rPr>
        <w:t>Residential</w:t>
      </w:r>
      <w:r w:rsidR="004217F1">
        <w:rPr>
          <w:rFonts w:ascii="Franklin Gothic Demi" w:hAnsi="Franklin Gothic Demi"/>
        </w:rPr>
        <w:t xml:space="preserve"> Parcel</w:t>
      </w:r>
      <w:r w:rsidRPr="004217F1">
        <w:rPr>
          <w:rFonts w:ascii="Franklin Gothic Demi" w:hAnsi="Franklin Gothic Demi"/>
        </w:rPr>
        <w:t xml:space="preserve"> </w:t>
      </w:r>
      <w:r w:rsidR="004217F1" w:rsidRPr="004217F1">
        <w:t>–</w:t>
      </w:r>
      <w:r w:rsidRPr="004217F1">
        <w:t xml:space="preserve"> </w:t>
      </w:r>
      <w:r w:rsidR="004217F1" w:rsidRPr="004217F1">
        <w:t xml:space="preserve">parcel that is zone or used for residential purposes. It includes single family, duplex, triplex, quadraplex, townhomes, manufactured </w:t>
      </w:r>
      <w:proofErr w:type="gramStart"/>
      <w:r w:rsidR="004217F1" w:rsidRPr="004217F1">
        <w:t>homes</w:t>
      </w:r>
      <w:proofErr w:type="gramEnd"/>
      <w:r w:rsidR="004217F1" w:rsidRPr="004217F1">
        <w:t xml:space="preserve"> or other buildings that contain multiple dwelling units, including apartments and residential condominium units. </w:t>
      </w:r>
    </w:p>
    <w:p w14:paraId="5FECB87A" w14:textId="77777777" w:rsidR="00FA68C8" w:rsidRDefault="00FA68C8" w:rsidP="001C1219">
      <w:pPr>
        <w:spacing w:after="0"/>
      </w:pPr>
    </w:p>
    <w:p w14:paraId="224966E4" w14:textId="33EA2EC9" w:rsidR="004217F1" w:rsidRDefault="00FA68C8" w:rsidP="001C1219">
      <w:pPr>
        <w:spacing w:after="0"/>
        <w:rPr>
          <w:sz w:val="23"/>
          <w:szCs w:val="23"/>
        </w:rPr>
      </w:pPr>
      <w:r w:rsidRPr="004217F1">
        <w:rPr>
          <w:rFonts w:ascii="Franklin Gothic Demi" w:hAnsi="Franklin Gothic Demi"/>
        </w:rPr>
        <w:t xml:space="preserve">Non-Residential </w:t>
      </w:r>
      <w:r w:rsidR="004217F1" w:rsidRPr="004217F1">
        <w:rPr>
          <w:rFonts w:ascii="Franklin Gothic Demi" w:hAnsi="Franklin Gothic Demi"/>
        </w:rPr>
        <w:t>Parcel</w:t>
      </w:r>
      <w:r w:rsidR="004217F1">
        <w:t xml:space="preserve"> </w:t>
      </w:r>
      <w:r>
        <w:t xml:space="preserve">-- </w:t>
      </w:r>
      <w:r w:rsidR="004217F1">
        <w:rPr>
          <w:sz w:val="23"/>
          <w:szCs w:val="23"/>
        </w:rPr>
        <w:t xml:space="preserve">means a parcel that has </w:t>
      </w:r>
      <w:proofErr w:type="gramStart"/>
      <w:r w:rsidR="004217F1">
        <w:rPr>
          <w:sz w:val="23"/>
          <w:szCs w:val="23"/>
        </w:rPr>
        <w:t>been developed</w:t>
      </w:r>
      <w:proofErr w:type="gramEnd"/>
      <w:r w:rsidR="004217F1">
        <w:rPr>
          <w:sz w:val="23"/>
          <w:szCs w:val="23"/>
        </w:rPr>
        <w:t xml:space="preserve"> for any purpose other than residential, including commercial, industrial/warehouse, and institutional purposes. </w:t>
      </w:r>
    </w:p>
    <w:p w14:paraId="679D29B8" w14:textId="77777777" w:rsidR="00FA68C8" w:rsidRDefault="00FA68C8" w:rsidP="001C1219">
      <w:pPr>
        <w:spacing w:after="0"/>
      </w:pPr>
    </w:p>
    <w:p w14:paraId="6CB1C54F" w14:textId="158EE726" w:rsidR="00DC6AD6" w:rsidRDefault="00DC6AD6" w:rsidP="001C1219">
      <w:pPr>
        <w:spacing w:after="0"/>
      </w:pPr>
      <w:r w:rsidRPr="000534C7">
        <w:rPr>
          <w:rFonts w:ascii="Franklin Gothic Demi" w:hAnsi="Franklin Gothic Demi"/>
        </w:rPr>
        <w:t>Common Element Parcels</w:t>
      </w:r>
      <w:r w:rsidRPr="000534C7">
        <w:t xml:space="preserve"> - </w:t>
      </w:r>
      <w:proofErr w:type="gramStart"/>
      <w:r w:rsidRPr="000534C7">
        <w:t>common area</w:t>
      </w:r>
      <w:proofErr w:type="gramEnd"/>
      <w:r w:rsidRPr="000534C7">
        <w:t xml:space="preserve"> utilized exclusively for the benefit of </w:t>
      </w:r>
      <w:r w:rsidR="00A5114E">
        <w:t xml:space="preserve">members of </w:t>
      </w:r>
      <w:r>
        <w:t>a</w:t>
      </w:r>
      <w:r w:rsidR="00A5114E">
        <w:t xml:space="preserve"> condominium complex </w:t>
      </w:r>
      <w:r w:rsidR="00A44B69">
        <w:t xml:space="preserve">or </w:t>
      </w:r>
      <w:r>
        <w:t>homeowners association</w:t>
      </w:r>
      <w:r w:rsidR="00A44B69">
        <w:t xml:space="preserve"> (HOA)</w:t>
      </w:r>
      <w:r w:rsidRPr="000534C7">
        <w:t>.</w:t>
      </w:r>
    </w:p>
    <w:p w14:paraId="03EE4E85" w14:textId="27A90E75" w:rsidR="00A5114E" w:rsidRDefault="00A5114E" w:rsidP="00A5114E">
      <w:pPr>
        <w:pStyle w:val="ListParagraph"/>
        <w:numPr>
          <w:ilvl w:val="0"/>
          <w:numId w:val="4"/>
        </w:numPr>
        <w:spacing w:after="0"/>
      </w:pPr>
      <w:r>
        <w:t xml:space="preserve">Note </w:t>
      </w:r>
      <w:r w:rsidR="00A44B69">
        <w:t xml:space="preserve">common element parcels do not get tax bills. </w:t>
      </w:r>
      <w:r>
        <w:t>Florida Statutes does not allow ad valorem</w:t>
      </w:r>
      <w:r w:rsidR="00A44B69">
        <w:t xml:space="preserve"> taxes</w:t>
      </w:r>
      <w:r>
        <w:t xml:space="preserve"> (property tax</w:t>
      </w:r>
      <w:r w:rsidR="00A44B69">
        <w:t>es</w:t>
      </w:r>
      <w:r>
        <w:t xml:space="preserve">) or non-ad valorem </w:t>
      </w:r>
      <w:r w:rsidR="00A44B69">
        <w:t xml:space="preserve">assessments </w:t>
      </w:r>
      <w:r>
        <w:t xml:space="preserve">(special assessment) to </w:t>
      </w:r>
      <w:proofErr w:type="gramStart"/>
      <w:r>
        <w:t>be imposed</w:t>
      </w:r>
      <w:proofErr w:type="gramEnd"/>
      <w:r>
        <w:t xml:space="preserve"> on common element parcels. All ad valorem </w:t>
      </w:r>
      <w:proofErr w:type="gramStart"/>
      <w:r>
        <w:t>taxes</w:t>
      </w:r>
      <w:proofErr w:type="gramEnd"/>
      <w:r>
        <w:t xml:space="preserve"> and non-ad valorem assessments must be reallocated to the lots within a Homeowners association or to units within a condominium complex.</w:t>
      </w:r>
      <w:r w:rsidR="00A44B69">
        <w:t xml:space="preserve"> See sections 193.0235 and 718.12</w:t>
      </w:r>
      <w:r w:rsidR="00F500F6">
        <w:t>0</w:t>
      </w:r>
      <w:r w:rsidR="00A44B69">
        <w:t xml:space="preserve">, Florida Statutes. </w:t>
      </w:r>
    </w:p>
    <w:p w14:paraId="269BBA4B" w14:textId="58577D4E" w:rsidR="00A44B69" w:rsidRDefault="00A44B69" w:rsidP="00A5114E">
      <w:pPr>
        <w:pStyle w:val="ListParagraph"/>
        <w:numPr>
          <w:ilvl w:val="0"/>
          <w:numId w:val="4"/>
        </w:numPr>
        <w:spacing w:after="0"/>
      </w:pPr>
      <w:r>
        <w:t>Therefore, when developing a special assessment program and the common elements directly benefit from the services and improvements provided by a local government, the costs of services associated with the common element parcel must be reallocated to the condominium and HOA members.</w:t>
      </w:r>
    </w:p>
    <w:p w14:paraId="157ABACA" w14:textId="2E296EF1" w:rsidR="00A44B69" w:rsidRDefault="00A44B69" w:rsidP="00A44B69">
      <w:pPr>
        <w:pStyle w:val="ListParagraph"/>
        <w:numPr>
          <w:ilvl w:val="1"/>
          <w:numId w:val="4"/>
        </w:numPr>
        <w:spacing w:after="0"/>
      </w:pPr>
      <w:proofErr w:type="gramStart"/>
      <w:r>
        <w:t>Typically</w:t>
      </w:r>
      <w:proofErr w:type="gramEnd"/>
      <w:r>
        <w:t xml:space="preserve"> special assessment programs reallocation the costs for common elements equally among residential condo units</w:t>
      </w:r>
      <w:r w:rsidR="001F06F9">
        <w:t xml:space="preserve"> (</w:t>
      </w:r>
      <w:r>
        <w:t>and HOA parcels</w:t>
      </w:r>
      <w:r w:rsidR="001F06F9">
        <w:t xml:space="preserve"> – if it can be determined who the members are of an HOA)</w:t>
      </w:r>
      <w:r>
        <w:t xml:space="preserve">. </w:t>
      </w:r>
    </w:p>
    <w:p w14:paraId="31183C08" w14:textId="77777777" w:rsidR="00DC6AD6" w:rsidRDefault="00DC6AD6" w:rsidP="001C1219">
      <w:pPr>
        <w:spacing w:after="0"/>
      </w:pPr>
    </w:p>
    <w:p w14:paraId="53A9A45A" w14:textId="77777777" w:rsidR="00BC2EB6" w:rsidRDefault="00FA68C8" w:rsidP="001C1219">
      <w:pPr>
        <w:autoSpaceDE w:val="0"/>
        <w:autoSpaceDN w:val="0"/>
        <w:adjustRightInd w:val="0"/>
        <w:spacing w:after="0"/>
        <w:rPr>
          <w:rFonts w:eastAsia="Times New Roman" w:cs="Times New Roman"/>
          <w:kern w:val="0"/>
          <w14:ligatures w14:val="none"/>
        </w:rPr>
      </w:pPr>
      <w:r w:rsidRPr="00BC2EB6">
        <w:rPr>
          <w:rFonts w:ascii="Franklin Gothic Demi" w:hAnsi="Franklin Gothic Demi"/>
        </w:rPr>
        <w:t>Dwelling Unit</w:t>
      </w:r>
      <w:r w:rsidRPr="00BC2EB6">
        <w:t xml:space="preserve"> – </w:t>
      </w:r>
      <w:r w:rsidR="00BC2EB6" w:rsidRPr="00BC2EB6">
        <w:rPr>
          <w:rFonts w:eastAsia="Times New Roman" w:cs="Times New Roman"/>
          <w:kern w:val="0"/>
          <w14:ligatures w14:val="none"/>
        </w:rPr>
        <w:t xml:space="preserve">means a building, or portion thereof, which </w:t>
      </w:r>
      <w:proofErr w:type="gramStart"/>
      <w:r w:rsidR="00BC2EB6" w:rsidRPr="00BC2EB6">
        <w:rPr>
          <w:rFonts w:eastAsia="Times New Roman" w:cs="Times New Roman"/>
          <w:kern w:val="0"/>
          <w14:ligatures w14:val="none"/>
        </w:rPr>
        <w:t>is lawfully used</w:t>
      </w:r>
      <w:proofErr w:type="gramEnd"/>
      <w:r w:rsidR="00BC2EB6" w:rsidRPr="00BC2EB6">
        <w:rPr>
          <w:rFonts w:eastAsia="Times New Roman" w:cs="Times New Roman"/>
          <w:kern w:val="0"/>
          <w14:ligatures w14:val="none"/>
        </w:rPr>
        <w:t xml:space="preserve"> for residential purposes, consisting of one or more rooms arranged, designed, used, or intended to be used as living quarters for one family only.</w:t>
      </w:r>
    </w:p>
    <w:p w14:paraId="45AF86D0" w14:textId="77777777" w:rsidR="00FA68C8" w:rsidRDefault="00FA68C8" w:rsidP="001C1219">
      <w:pPr>
        <w:spacing w:after="0"/>
      </w:pPr>
    </w:p>
    <w:p w14:paraId="667F466B" w14:textId="2C5923A5" w:rsidR="00FA68C8" w:rsidRDefault="00FA68C8" w:rsidP="001C1219">
      <w:pPr>
        <w:spacing w:after="0"/>
      </w:pPr>
      <w:r w:rsidRPr="00974420">
        <w:rPr>
          <w:rFonts w:ascii="Franklin Gothic Demi" w:hAnsi="Franklin Gothic Demi"/>
        </w:rPr>
        <w:t>Waterfront Feet</w:t>
      </w:r>
      <w:r>
        <w:t xml:space="preserve"> – </w:t>
      </w:r>
      <w:r w:rsidR="004217F1">
        <w:t>linear feet that span the water’s edge of a land parcel.</w:t>
      </w:r>
    </w:p>
    <w:p w14:paraId="6C4D5827" w14:textId="77777777" w:rsidR="00FA68C8" w:rsidRDefault="00FA68C8" w:rsidP="001C1219">
      <w:pPr>
        <w:spacing w:after="0"/>
      </w:pPr>
    </w:p>
    <w:p w14:paraId="0E28729F" w14:textId="3861998A" w:rsidR="00955BDD" w:rsidRDefault="00FA68C8" w:rsidP="001C1219">
      <w:pPr>
        <w:spacing w:after="0"/>
      </w:pPr>
      <w:r w:rsidRPr="00955BDD">
        <w:rPr>
          <w:rFonts w:ascii="Franklin Gothic Demi" w:hAnsi="Franklin Gothic Demi"/>
        </w:rPr>
        <w:t>Equivalent Residential Units (ERU)</w:t>
      </w:r>
      <w:r w:rsidR="00807532">
        <w:t xml:space="preserve"> – a </w:t>
      </w:r>
      <w:r w:rsidR="00955BDD">
        <w:t xml:space="preserve">unit of measurement used to determine the </w:t>
      </w:r>
      <w:r w:rsidR="00807532">
        <w:t xml:space="preserve">impact of </w:t>
      </w:r>
      <w:r w:rsidR="00955BDD">
        <w:t xml:space="preserve">non-residential property based on the average single family residential parcel impact. </w:t>
      </w:r>
    </w:p>
    <w:p w14:paraId="1F2A5C9B" w14:textId="77777777" w:rsidR="00FA68C8" w:rsidRDefault="00FA68C8" w:rsidP="001C1219">
      <w:pPr>
        <w:spacing w:after="0"/>
      </w:pPr>
    </w:p>
    <w:p w14:paraId="32AA969E" w14:textId="5D65D57C" w:rsidR="00FA68C8" w:rsidRDefault="00FA68C8" w:rsidP="001C1219">
      <w:pPr>
        <w:spacing w:after="0"/>
      </w:pPr>
      <w:r w:rsidRPr="00955BDD">
        <w:rPr>
          <w:rFonts w:ascii="Franklin Gothic Demi" w:hAnsi="Franklin Gothic Demi"/>
        </w:rPr>
        <w:t>Allowable Boat Slip</w:t>
      </w:r>
      <w:r w:rsidR="00BC2EB6">
        <w:t xml:space="preserve"> </w:t>
      </w:r>
      <w:r w:rsidR="00807532">
        <w:t>–</w:t>
      </w:r>
      <w:r w:rsidR="00BC2EB6">
        <w:t xml:space="preserve"> </w:t>
      </w:r>
      <w:r w:rsidR="00807532">
        <w:t>the number of boat slips</w:t>
      </w:r>
      <w:r w:rsidR="00955BDD">
        <w:t xml:space="preserve"> and boat docks </w:t>
      </w:r>
      <w:r w:rsidR="00807532">
        <w:t xml:space="preserve">allowed to </w:t>
      </w:r>
      <w:proofErr w:type="gramStart"/>
      <w:r w:rsidR="00807532">
        <w:t>be constructed</w:t>
      </w:r>
      <w:proofErr w:type="gramEnd"/>
      <w:r w:rsidR="00807532">
        <w:t xml:space="preserve"> on a parcel based on local rules and regulations. </w:t>
      </w:r>
    </w:p>
    <w:p w14:paraId="6C39BE2C" w14:textId="77777777" w:rsidR="00FA68C8" w:rsidRDefault="00FA68C8" w:rsidP="001C1219">
      <w:pPr>
        <w:spacing w:after="0"/>
      </w:pPr>
    </w:p>
    <w:p w14:paraId="615AF3F7" w14:textId="22DF5920" w:rsidR="00974420" w:rsidRDefault="00974420" w:rsidP="001C1219">
      <w:pPr>
        <w:spacing w:after="0"/>
      </w:pPr>
      <w:r w:rsidRPr="00955BDD">
        <w:rPr>
          <w:rFonts w:ascii="Franklin Gothic Demi" w:hAnsi="Franklin Gothic Demi"/>
        </w:rPr>
        <w:t xml:space="preserve">Boat </w:t>
      </w:r>
      <w:r w:rsidR="00807532" w:rsidRPr="00955BDD">
        <w:rPr>
          <w:rFonts w:ascii="Franklin Gothic Demi" w:hAnsi="Franklin Gothic Demi"/>
        </w:rPr>
        <w:t>Dock/Slip</w:t>
      </w:r>
      <w:r>
        <w:t xml:space="preserve"> – a structure of wood or metal where you park </w:t>
      </w:r>
      <w:r w:rsidR="00807532">
        <w:t>a</w:t>
      </w:r>
      <w:r>
        <w:t xml:space="preserve"> boat. </w:t>
      </w:r>
    </w:p>
    <w:p w14:paraId="60ACD5FB" w14:textId="77777777" w:rsidR="00D56AB5" w:rsidRDefault="00D56AB5" w:rsidP="001C1219">
      <w:pPr>
        <w:spacing w:after="0"/>
      </w:pPr>
    </w:p>
    <w:p w14:paraId="1F91CA69" w14:textId="46CA5377" w:rsidR="00807532" w:rsidRDefault="00807532" w:rsidP="001C1219">
      <w:pPr>
        <w:spacing w:after="0"/>
      </w:pPr>
      <w:r w:rsidRPr="00955BDD">
        <w:rPr>
          <w:rFonts w:ascii="Franklin Gothic Demi" w:hAnsi="Franklin Gothic Demi"/>
        </w:rPr>
        <w:t>Boat Lift</w:t>
      </w:r>
      <w:r>
        <w:t xml:space="preserve"> – a device that can </w:t>
      </w:r>
      <w:proofErr w:type="gramStart"/>
      <w:r>
        <w:t>be used</w:t>
      </w:r>
      <w:proofErr w:type="gramEnd"/>
      <w:r>
        <w:t xml:space="preserve"> to secure a boat above the water, either at a private dock or at a marina.</w:t>
      </w:r>
    </w:p>
    <w:p w14:paraId="479E3289" w14:textId="77777777" w:rsidR="00974420" w:rsidRDefault="00974420" w:rsidP="001C1219">
      <w:pPr>
        <w:spacing w:after="0"/>
      </w:pPr>
    </w:p>
    <w:p w14:paraId="31C0FE43" w14:textId="5809815C" w:rsidR="00FA68C8" w:rsidRDefault="00FA68C8" w:rsidP="001C1219">
      <w:pPr>
        <w:spacing w:after="0"/>
      </w:pPr>
      <w:r w:rsidRPr="00955BDD">
        <w:rPr>
          <w:rFonts w:ascii="Franklin Gothic Demi" w:hAnsi="Franklin Gothic Demi"/>
        </w:rPr>
        <w:t>Water Access Unit</w:t>
      </w:r>
      <w:r>
        <w:t xml:space="preserve"> – </w:t>
      </w:r>
      <w:r w:rsidR="00955BDD">
        <w:t>means, collectively, the total number of actual or allowable boat slips, boat docks, and boat lifts.</w:t>
      </w:r>
    </w:p>
    <w:p w14:paraId="44D8B9D8" w14:textId="77777777" w:rsidR="00DC6AD6" w:rsidRDefault="00DC6AD6" w:rsidP="001C1219">
      <w:pPr>
        <w:spacing w:after="0"/>
        <w:rPr>
          <w:rFonts w:ascii="Franklin Gothic Demi" w:hAnsi="Franklin Gothic Demi"/>
        </w:rPr>
      </w:pPr>
    </w:p>
    <w:p w14:paraId="1572C69E" w14:textId="05970FE0" w:rsidR="00A900C5" w:rsidRDefault="00A900C5" w:rsidP="001C1219">
      <w:pPr>
        <w:spacing w:after="0"/>
        <w:rPr>
          <w:rFonts w:ascii="Franklin Gothic Demi" w:hAnsi="Franklin Gothic Demi"/>
        </w:rPr>
      </w:pPr>
      <w:r>
        <w:rPr>
          <w:rFonts w:ascii="Franklin Gothic Demi" w:hAnsi="Franklin Gothic Demi"/>
        </w:rPr>
        <w:t xml:space="preserve">General Benefit Canal </w:t>
      </w:r>
      <w:r w:rsidRPr="00A900C5">
        <w:t>– access channels that provide a general benefit to Longboat Key.</w:t>
      </w:r>
      <w:r>
        <w:t xml:space="preserve"> The canals provide access to Longboat Key in general and not directly to the parcels that are abutting. These canals have </w:t>
      </w:r>
      <w:proofErr w:type="gramStart"/>
      <w:r>
        <w:t>been identified</w:t>
      </w:r>
      <w:proofErr w:type="gramEnd"/>
      <w:r>
        <w:t xml:space="preserve"> in “red”</w:t>
      </w:r>
      <w:r w:rsidR="00FD69F5">
        <w:t xml:space="preserve"> on the maps. The costs for maintaining the general or red canals will </w:t>
      </w:r>
      <w:proofErr w:type="gramStart"/>
      <w:r w:rsidR="00FD69F5">
        <w:t>be paid</w:t>
      </w:r>
      <w:proofErr w:type="gramEnd"/>
      <w:r w:rsidR="00FD69F5">
        <w:t xml:space="preserve"> with general fund money.</w:t>
      </w:r>
    </w:p>
    <w:p w14:paraId="175792DE" w14:textId="77777777" w:rsidR="00A900C5" w:rsidRDefault="00A900C5" w:rsidP="001C1219">
      <w:pPr>
        <w:spacing w:after="0"/>
        <w:rPr>
          <w:rFonts w:ascii="Franklin Gothic Demi" w:hAnsi="Franklin Gothic Demi"/>
        </w:rPr>
      </w:pPr>
    </w:p>
    <w:p w14:paraId="378A8701" w14:textId="677052DA" w:rsidR="00A900C5" w:rsidRPr="00FD69F5" w:rsidRDefault="00A900C5" w:rsidP="001C1219">
      <w:pPr>
        <w:spacing w:after="0"/>
      </w:pPr>
      <w:r>
        <w:rPr>
          <w:rFonts w:ascii="Franklin Gothic Demi" w:hAnsi="Franklin Gothic Demi"/>
        </w:rPr>
        <w:t>Cost-Share Benefit Canal</w:t>
      </w:r>
      <w:r w:rsidR="00FD69F5">
        <w:rPr>
          <w:rFonts w:ascii="Franklin Gothic Demi" w:hAnsi="Franklin Gothic Demi"/>
        </w:rPr>
        <w:t xml:space="preserve"> </w:t>
      </w:r>
      <w:proofErr w:type="gramStart"/>
      <w:r w:rsidR="00FD69F5" w:rsidRPr="00FD69F5">
        <w:t>-  arterial</w:t>
      </w:r>
      <w:proofErr w:type="gramEnd"/>
      <w:r w:rsidR="00FD69F5" w:rsidRPr="00FD69F5">
        <w:t xml:space="preserve"> channels that are used for both local and general purposes. </w:t>
      </w:r>
      <w:r w:rsidR="00FD69F5">
        <w:t xml:space="preserve">These canals have </w:t>
      </w:r>
      <w:proofErr w:type="gramStart"/>
      <w:r w:rsidR="00FD69F5">
        <w:t>been identified</w:t>
      </w:r>
      <w:proofErr w:type="gramEnd"/>
      <w:r w:rsidR="00FD69F5">
        <w:t xml:space="preserve"> in “green” on the maps. All parcels that abut the cost-share canals will pay their proportionate share of their group’s assessment since they get a direct benefit from maintaining the navigability of the canals; however, the costs of maintenance activities for the green canals will </w:t>
      </w:r>
      <w:proofErr w:type="gramStart"/>
      <w:r w:rsidR="00FD69F5">
        <w:t>be split</w:t>
      </w:r>
      <w:proofErr w:type="gramEnd"/>
      <w:r w:rsidR="00FD69F5">
        <w:t xml:space="preserve"> between general fund and assessment. Splitting the costs 50% to direct benefit and 50% to general benefit is necessary to account for the non-local usage of the canals.</w:t>
      </w:r>
    </w:p>
    <w:p w14:paraId="27DDA783" w14:textId="77777777" w:rsidR="00A900C5" w:rsidRDefault="00A900C5" w:rsidP="001C1219">
      <w:pPr>
        <w:spacing w:after="0"/>
        <w:rPr>
          <w:rFonts w:ascii="Franklin Gothic Demi" w:hAnsi="Franklin Gothic Demi"/>
        </w:rPr>
      </w:pPr>
    </w:p>
    <w:p w14:paraId="50853265" w14:textId="29469D91" w:rsidR="00A900C5" w:rsidRPr="00FD69F5" w:rsidRDefault="00A900C5" w:rsidP="001C1219">
      <w:pPr>
        <w:spacing w:after="0"/>
      </w:pPr>
      <w:r>
        <w:rPr>
          <w:rFonts w:ascii="Franklin Gothic Demi" w:hAnsi="Franklin Gothic Demi"/>
        </w:rPr>
        <w:t>Local Benefit Canal</w:t>
      </w:r>
      <w:r w:rsidR="00FD69F5">
        <w:rPr>
          <w:rFonts w:ascii="Franklin Gothic Demi" w:hAnsi="Franklin Gothic Demi"/>
        </w:rPr>
        <w:t xml:space="preserve"> </w:t>
      </w:r>
      <w:r w:rsidR="00FD69F5" w:rsidRPr="00FD69F5">
        <w:t>– these are the canals that</w:t>
      </w:r>
      <w:r w:rsidR="00FD69F5">
        <w:t xml:space="preserve"> are</w:t>
      </w:r>
      <w:r w:rsidR="00FD69F5" w:rsidRPr="00FD69F5">
        <w:t xml:space="preserve"> </w:t>
      </w:r>
      <w:proofErr w:type="gramStart"/>
      <w:r w:rsidR="00FD69F5" w:rsidRPr="00FD69F5">
        <w:t>predominantly used</w:t>
      </w:r>
      <w:proofErr w:type="gramEnd"/>
      <w:r w:rsidR="00FD69F5" w:rsidRPr="00FD69F5">
        <w:t xml:space="preserve"> </w:t>
      </w:r>
      <w:r w:rsidR="00FD69F5">
        <w:t xml:space="preserve">by the properties abutting the canal. These canals provide </w:t>
      </w:r>
      <w:r w:rsidR="00FD69F5" w:rsidRPr="00FD69F5">
        <w:t xml:space="preserve">direct access to </w:t>
      </w:r>
      <w:r w:rsidR="00FD69F5">
        <w:t xml:space="preserve">and </w:t>
      </w:r>
      <w:proofErr w:type="gramStart"/>
      <w:r w:rsidR="00FD69F5">
        <w:t>are primarily used</w:t>
      </w:r>
      <w:proofErr w:type="gramEnd"/>
      <w:r w:rsidR="00FD69F5">
        <w:t xml:space="preserve"> by the abutting properties. These are the canals that have </w:t>
      </w:r>
      <w:proofErr w:type="gramStart"/>
      <w:r w:rsidR="00FD69F5">
        <w:t>been identified</w:t>
      </w:r>
      <w:proofErr w:type="gramEnd"/>
      <w:r w:rsidR="00FD69F5">
        <w:t xml:space="preserve"> in “blue” on the maps. All costs associated with the direct benefit canals will be</w:t>
      </w:r>
      <w:r w:rsidR="002132AC">
        <w:t xml:space="preserve"> </w:t>
      </w:r>
      <w:proofErr w:type="gramStart"/>
      <w:r w:rsidR="002132AC">
        <w:t>fairly apportioned</w:t>
      </w:r>
      <w:proofErr w:type="gramEnd"/>
      <w:r w:rsidR="002132AC">
        <w:t xml:space="preserve"> to the properties that benefit.</w:t>
      </w:r>
    </w:p>
    <w:p w14:paraId="07B323F8" w14:textId="0F524254" w:rsidR="001C1219" w:rsidRDefault="001C1219">
      <w:pPr>
        <w:spacing w:after="160" w:line="259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sectPr w:rsidR="001C1219" w:rsidSect="004C69E8">
      <w:footerReference w:type="default" r:id="rId8"/>
      <w:pgSz w:w="12240" w:h="15840" w:code="1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F2E71" w14:textId="77777777" w:rsidR="001C1219" w:rsidRDefault="001C1219" w:rsidP="001C1219">
      <w:pPr>
        <w:spacing w:after="0"/>
      </w:pPr>
      <w:r>
        <w:separator/>
      </w:r>
    </w:p>
  </w:endnote>
  <w:endnote w:type="continuationSeparator" w:id="0">
    <w:p w14:paraId="60D2D113" w14:textId="77777777" w:rsidR="001C1219" w:rsidRDefault="001C1219" w:rsidP="001C12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8850516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4B23829B" w14:textId="428B0C38" w:rsidR="001C1219" w:rsidRPr="001C1219" w:rsidRDefault="001C1219">
        <w:pPr>
          <w:pStyle w:val="Footer"/>
          <w:jc w:val="right"/>
          <w:rPr>
            <w:sz w:val="18"/>
            <w:szCs w:val="18"/>
          </w:rPr>
        </w:pPr>
        <w:r w:rsidRPr="001C1219">
          <w:rPr>
            <w:sz w:val="18"/>
            <w:szCs w:val="18"/>
          </w:rPr>
          <w:fldChar w:fldCharType="begin"/>
        </w:r>
        <w:r w:rsidRPr="001C1219">
          <w:rPr>
            <w:sz w:val="18"/>
            <w:szCs w:val="18"/>
          </w:rPr>
          <w:instrText xml:space="preserve"> PAGE   \* MERGEFORMAT </w:instrText>
        </w:r>
        <w:r w:rsidRPr="001C1219">
          <w:rPr>
            <w:sz w:val="18"/>
            <w:szCs w:val="18"/>
          </w:rPr>
          <w:fldChar w:fldCharType="separate"/>
        </w:r>
        <w:r w:rsidRPr="001C1219">
          <w:rPr>
            <w:noProof/>
            <w:sz w:val="18"/>
            <w:szCs w:val="18"/>
          </w:rPr>
          <w:t>2</w:t>
        </w:r>
        <w:r w:rsidRPr="001C1219">
          <w:rPr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2B5DE" w14:textId="77777777" w:rsidR="001C1219" w:rsidRDefault="001C1219" w:rsidP="001C1219">
      <w:pPr>
        <w:spacing w:after="0"/>
      </w:pPr>
      <w:r>
        <w:separator/>
      </w:r>
    </w:p>
  </w:footnote>
  <w:footnote w:type="continuationSeparator" w:id="0">
    <w:p w14:paraId="3FEAE893" w14:textId="77777777" w:rsidR="001C1219" w:rsidRDefault="001C1219" w:rsidP="001C121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21C1A"/>
    <w:multiLevelType w:val="hybridMultilevel"/>
    <w:tmpl w:val="75D62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6631E"/>
    <w:multiLevelType w:val="hybridMultilevel"/>
    <w:tmpl w:val="FAF082AC"/>
    <w:lvl w:ilvl="0" w:tplc="525E49C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86D51E6"/>
    <w:multiLevelType w:val="hybridMultilevel"/>
    <w:tmpl w:val="45E02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A6BF9"/>
    <w:multiLevelType w:val="hybridMultilevel"/>
    <w:tmpl w:val="0F48B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F2A0C"/>
    <w:multiLevelType w:val="hybridMultilevel"/>
    <w:tmpl w:val="8990B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B5DC1"/>
    <w:multiLevelType w:val="hybridMultilevel"/>
    <w:tmpl w:val="FA646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E75256"/>
    <w:multiLevelType w:val="hybridMultilevel"/>
    <w:tmpl w:val="E62CB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D4A0A"/>
    <w:multiLevelType w:val="hybridMultilevel"/>
    <w:tmpl w:val="ECAC2A58"/>
    <w:lvl w:ilvl="0" w:tplc="B608D0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Franklin Gothic Book" w:eastAsia="Times New Roman" w:hAnsi="Franklin Gothic Book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A14F87"/>
    <w:multiLevelType w:val="hybridMultilevel"/>
    <w:tmpl w:val="2A90350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3939702">
    <w:abstractNumId w:val="1"/>
  </w:num>
  <w:num w:numId="2" w16cid:durableId="1539079290">
    <w:abstractNumId w:val="2"/>
  </w:num>
  <w:num w:numId="3" w16cid:durableId="927811549">
    <w:abstractNumId w:val="3"/>
  </w:num>
  <w:num w:numId="4" w16cid:durableId="1402168453">
    <w:abstractNumId w:val="0"/>
  </w:num>
  <w:num w:numId="5" w16cid:durableId="1349327113">
    <w:abstractNumId w:val="7"/>
  </w:num>
  <w:num w:numId="6" w16cid:durableId="1031763156">
    <w:abstractNumId w:val="4"/>
  </w:num>
  <w:num w:numId="7" w16cid:durableId="2065249946">
    <w:abstractNumId w:val="8"/>
  </w:num>
  <w:num w:numId="8" w16cid:durableId="533081736">
    <w:abstractNumId w:val="6"/>
  </w:num>
  <w:num w:numId="9" w16cid:durableId="15078648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8C8"/>
    <w:rsid w:val="0001028B"/>
    <w:rsid w:val="000534C7"/>
    <w:rsid w:val="00084E8D"/>
    <w:rsid w:val="00160030"/>
    <w:rsid w:val="001C1219"/>
    <w:rsid w:val="001F06F9"/>
    <w:rsid w:val="002132AC"/>
    <w:rsid w:val="00224774"/>
    <w:rsid w:val="00231503"/>
    <w:rsid w:val="0039288D"/>
    <w:rsid w:val="003C3F37"/>
    <w:rsid w:val="0040135D"/>
    <w:rsid w:val="004217F1"/>
    <w:rsid w:val="00474C63"/>
    <w:rsid w:val="004B60E1"/>
    <w:rsid w:val="004C69E8"/>
    <w:rsid w:val="00584FB0"/>
    <w:rsid w:val="005F513A"/>
    <w:rsid w:val="00633FD6"/>
    <w:rsid w:val="006B4CD8"/>
    <w:rsid w:val="006B6491"/>
    <w:rsid w:val="00807532"/>
    <w:rsid w:val="00872676"/>
    <w:rsid w:val="008D66D4"/>
    <w:rsid w:val="0090083E"/>
    <w:rsid w:val="00907188"/>
    <w:rsid w:val="00955BDD"/>
    <w:rsid w:val="00974420"/>
    <w:rsid w:val="00A26E8F"/>
    <w:rsid w:val="00A44B69"/>
    <w:rsid w:val="00A5114E"/>
    <w:rsid w:val="00A900C5"/>
    <w:rsid w:val="00A97CA0"/>
    <w:rsid w:val="00AD733C"/>
    <w:rsid w:val="00BC2EB6"/>
    <w:rsid w:val="00CF5A29"/>
    <w:rsid w:val="00D56AB5"/>
    <w:rsid w:val="00D82588"/>
    <w:rsid w:val="00DC6AD6"/>
    <w:rsid w:val="00E346E8"/>
    <w:rsid w:val="00F166FA"/>
    <w:rsid w:val="00F500F6"/>
    <w:rsid w:val="00F6328F"/>
    <w:rsid w:val="00FA68C8"/>
    <w:rsid w:val="00FB2DA1"/>
    <w:rsid w:val="00FB4553"/>
    <w:rsid w:val="00FD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24D85"/>
  <w15:chartTrackingRefBased/>
  <w15:docId w15:val="{9CEFA4D4-DEB3-45C4-818B-7C2E58432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8C8"/>
    <w:pPr>
      <w:spacing w:after="120" w:line="240" w:lineRule="auto"/>
      <w:jc w:val="both"/>
    </w:pPr>
    <w:rPr>
      <w:rFonts w:ascii="Franklin Gothic Book" w:hAnsi="Franklin Gothic Boo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315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6B649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217F1"/>
    <w:rPr>
      <w:b/>
      <w:bCs/>
    </w:rPr>
  </w:style>
  <w:style w:type="table" w:styleId="TableGrid">
    <w:name w:val="Table Grid"/>
    <w:basedOn w:val="TableNormal"/>
    <w:uiPriority w:val="39"/>
    <w:rsid w:val="00AD7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0083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0534C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121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1219"/>
    <w:rPr>
      <w:rFonts w:ascii="Franklin Gothic Book" w:hAnsi="Franklin Gothic Book"/>
    </w:rPr>
  </w:style>
  <w:style w:type="paragraph" w:styleId="Footer">
    <w:name w:val="footer"/>
    <w:basedOn w:val="Normal"/>
    <w:link w:val="FooterChar"/>
    <w:uiPriority w:val="99"/>
    <w:unhideWhenUsed/>
    <w:rsid w:val="001C121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1219"/>
    <w:rPr>
      <w:rFonts w:ascii="Franklin Gothic Book" w:hAnsi="Franklin Gothic Book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00F6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00F6"/>
    <w:rPr>
      <w:rFonts w:ascii="Franklin Gothic Book" w:hAnsi="Franklin Gothic Book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00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4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30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9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8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64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35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8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EE2D9-20A1-4E31-8B2F-10DFD5897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 Neubarth</dc:creator>
  <cp:keywords/>
  <dc:description/>
  <cp:lastModifiedBy>Sandi Neubarth</cp:lastModifiedBy>
  <cp:revision>3</cp:revision>
  <dcterms:created xsi:type="dcterms:W3CDTF">2023-11-17T17:42:00Z</dcterms:created>
  <dcterms:modified xsi:type="dcterms:W3CDTF">2023-11-17T17:52:00Z</dcterms:modified>
</cp:coreProperties>
</file>