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5460F" w14:textId="1B467612" w:rsidR="002978E8" w:rsidRPr="00E10213" w:rsidRDefault="00FB6516">
      <w:pPr>
        <w:rPr>
          <w:sz w:val="28"/>
          <w:szCs w:val="28"/>
          <w:u w:val="single"/>
        </w:rPr>
      </w:pPr>
      <w:r w:rsidRPr="00E10213">
        <w:rPr>
          <w:rStyle w:val="sectionnumber"/>
          <w:rFonts w:ascii="Trebuchet MS" w:hAnsi="Trebuchet MS"/>
          <w:b/>
          <w:bCs/>
          <w:color w:val="000080"/>
          <w:sz w:val="28"/>
          <w:szCs w:val="28"/>
          <w:u w:val="single"/>
          <w:shd w:val="clear" w:color="auto" w:fill="FFFFFF"/>
        </w:rPr>
        <w:t>106.141</w:t>
      </w:r>
      <w:r w:rsidRPr="00E10213">
        <w:rPr>
          <w:rStyle w:val="sectionnumber"/>
          <w:rFonts w:ascii="Trebuchet MS" w:hAnsi="Trebuchet MS"/>
          <w:b/>
          <w:bCs/>
          <w:color w:val="000080"/>
          <w:sz w:val="28"/>
          <w:szCs w:val="28"/>
          <w:u w:val="single"/>
          <w:shd w:val="clear" w:color="auto" w:fill="FFFFFF"/>
        </w:rPr>
        <w:t> </w:t>
      </w:r>
      <w:r w:rsidRPr="00E10213">
        <w:rPr>
          <w:rStyle w:val="catchlinetext"/>
          <w:rFonts w:ascii="Trebuchet MS" w:hAnsi="Trebuchet MS"/>
          <w:b/>
          <w:bCs/>
          <w:color w:val="000080"/>
          <w:sz w:val="28"/>
          <w:szCs w:val="28"/>
          <w:u w:val="single"/>
          <w:shd w:val="clear" w:color="auto" w:fill="FFFFFF"/>
        </w:rPr>
        <w:t>Disposition of surplus funds by candidates.</w:t>
      </w:r>
      <w:r w:rsidRPr="00E10213">
        <w:rPr>
          <w:rStyle w:val="emdash"/>
          <w:rFonts w:ascii="Trebuchet MS" w:hAnsi="Trebuchet MS"/>
          <w:color w:val="000080"/>
          <w:sz w:val="28"/>
          <w:szCs w:val="28"/>
          <w:u w:val="single"/>
          <w:shd w:val="clear" w:color="auto" w:fill="FFFFFF"/>
        </w:rPr>
        <w:t>—</w:t>
      </w:r>
    </w:p>
    <w:p w14:paraId="7E4D34F3" w14:textId="77777777" w:rsidR="00DD6E6C" w:rsidRDefault="00DD6E6C"/>
    <w:p w14:paraId="477A5A4F" w14:textId="6372119A" w:rsidR="00DD6E6C" w:rsidRPr="00FB6516" w:rsidRDefault="00DD6E6C" w:rsidP="00FB6516">
      <w:pPr>
        <w:spacing w:after="240" w:line="360" w:lineRule="auto"/>
        <w:jc w:val="both"/>
        <w:rPr>
          <w:rStyle w:val="text"/>
          <w:rFonts w:ascii="Trebuchet MS" w:hAnsi="Trebuchet MS"/>
          <w:color w:val="000080"/>
          <w:sz w:val="28"/>
          <w:szCs w:val="28"/>
          <w:shd w:val="clear" w:color="auto" w:fill="FFFFFF"/>
        </w:rPr>
      </w:pPr>
      <w:r w:rsidRPr="00FB6516">
        <w:rPr>
          <w:rStyle w:val="number"/>
          <w:rFonts w:ascii="Trebuchet MS" w:hAnsi="Trebuchet MS"/>
          <w:color w:val="000080"/>
          <w:sz w:val="28"/>
          <w:szCs w:val="28"/>
          <w:shd w:val="clear" w:color="auto" w:fill="FFFFFF"/>
        </w:rPr>
        <w:t>(2)</w:t>
      </w:r>
      <w:r w:rsidRPr="00FB6516">
        <w:rPr>
          <w:rStyle w:val="number"/>
          <w:rFonts w:ascii="Trebuchet MS" w:hAnsi="Trebuchet MS"/>
          <w:color w:val="000080"/>
          <w:sz w:val="28"/>
          <w:szCs w:val="28"/>
          <w:shd w:val="clear" w:color="auto" w:fill="FFFFFF"/>
        </w:rPr>
        <w:t> </w:t>
      </w:r>
      <w:r w:rsidRPr="00FB6516">
        <w:rPr>
          <w:rStyle w:val="text"/>
          <w:rFonts w:ascii="Trebuchet MS" w:hAnsi="Trebuchet MS"/>
          <w:color w:val="000080"/>
          <w:sz w:val="28"/>
          <w:szCs w:val="28"/>
          <w:highlight w:val="yellow"/>
          <w:shd w:val="clear" w:color="auto" w:fill="FFFFFF"/>
        </w:rPr>
        <w:t>Any candidate</w:t>
      </w:r>
      <w:r w:rsidRPr="00FB6516">
        <w:rPr>
          <w:rStyle w:val="text"/>
          <w:rFonts w:ascii="Trebuchet MS" w:hAnsi="Trebuchet MS"/>
          <w:color w:val="000080"/>
          <w:sz w:val="28"/>
          <w:szCs w:val="28"/>
          <w:shd w:val="clear" w:color="auto" w:fill="FFFFFF"/>
        </w:rPr>
        <w:t xml:space="preserve"> required to dispose of funds pursuant to this section </w:t>
      </w:r>
      <w:r w:rsidRPr="00FB6516">
        <w:rPr>
          <w:rStyle w:val="text"/>
          <w:rFonts w:ascii="Trebuchet MS" w:hAnsi="Trebuchet MS"/>
          <w:color w:val="000080"/>
          <w:sz w:val="28"/>
          <w:szCs w:val="28"/>
          <w:highlight w:val="yellow"/>
          <w:shd w:val="clear" w:color="auto" w:fill="FFFFFF"/>
        </w:rPr>
        <w:t>may, before such disposition, be reimbursed by the campaign,</w:t>
      </w:r>
      <w:r w:rsidRPr="00FB6516">
        <w:rPr>
          <w:rStyle w:val="text"/>
          <w:rFonts w:ascii="Trebuchet MS" w:hAnsi="Trebuchet MS"/>
          <w:color w:val="000080"/>
          <w:sz w:val="28"/>
          <w:szCs w:val="28"/>
          <w:shd w:val="clear" w:color="auto" w:fill="FFFFFF"/>
        </w:rPr>
        <w:t xml:space="preserve"> in full or in part, </w:t>
      </w:r>
      <w:r w:rsidRPr="00FB6516">
        <w:rPr>
          <w:rStyle w:val="text"/>
          <w:rFonts w:ascii="Trebuchet MS" w:hAnsi="Trebuchet MS"/>
          <w:color w:val="000080"/>
          <w:sz w:val="28"/>
          <w:szCs w:val="28"/>
          <w:highlight w:val="yellow"/>
          <w:shd w:val="clear" w:color="auto" w:fill="FFFFFF"/>
        </w:rPr>
        <w:t>for any reported contributions by the candidate</w:t>
      </w:r>
      <w:r w:rsidRPr="00FB6516">
        <w:rPr>
          <w:rStyle w:val="text"/>
          <w:rFonts w:ascii="Trebuchet MS" w:hAnsi="Trebuchet MS"/>
          <w:color w:val="000080"/>
          <w:sz w:val="28"/>
          <w:szCs w:val="28"/>
          <w:shd w:val="clear" w:color="auto" w:fill="FFFFFF"/>
        </w:rPr>
        <w:t xml:space="preserve"> to the campaign.</w:t>
      </w:r>
    </w:p>
    <w:p w14:paraId="0502B12C" w14:textId="77777777" w:rsidR="00FB6516" w:rsidRPr="00FB6516" w:rsidRDefault="00FB6516" w:rsidP="00FB6516">
      <w:pPr>
        <w:spacing w:after="0" w:line="360" w:lineRule="auto"/>
        <w:jc w:val="both"/>
        <w:rPr>
          <w:rFonts w:ascii="Times New Roman" w:eastAsia="Times New Roman" w:hAnsi="Times New Roman" w:cs="Times New Roman"/>
          <w:kern w:val="0"/>
          <w:sz w:val="28"/>
          <w:szCs w:val="28"/>
          <w14:ligatures w14:val="none"/>
        </w:rPr>
      </w:pPr>
      <w:hyperlink r:id="rId5" w:anchor="1" w:history="1">
        <w:r w:rsidRPr="00FB6516">
          <w:rPr>
            <w:rFonts w:ascii="Trebuchet MS" w:eastAsia="Times New Roman" w:hAnsi="Trebuchet MS" w:cs="Times New Roman"/>
            <w:color w:val="000080"/>
            <w:kern w:val="0"/>
            <w:sz w:val="28"/>
            <w:szCs w:val="28"/>
            <w:u w:val="single"/>
            <w:shd w:val="clear" w:color="auto" w:fill="FFFFFF"/>
            <w:vertAlign w:val="superscript"/>
            <w14:ligatures w14:val="none"/>
          </w:rPr>
          <w:t>1</w:t>
        </w:r>
      </w:hyperlink>
      <w:r w:rsidRPr="00FB6516">
        <w:rPr>
          <w:rFonts w:ascii="Trebuchet MS" w:eastAsia="Times New Roman" w:hAnsi="Trebuchet MS" w:cs="Times New Roman"/>
          <w:color w:val="000080"/>
          <w:kern w:val="0"/>
          <w:sz w:val="28"/>
          <w:szCs w:val="28"/>
          <w:shd w:val="clear" w:color="auto" w:fill="FFFFFF"/>
          <w14:ligatures w14:val="none"/>
        </w:rPr>
        <w:t>(4)(a)</w:t>
      </w:r>
      <w:r w:rsidRPr="00FB6516">
        <w:rPr>
          <w:rFonts w:ascii="Trebuchet MS" w:eastAsia="Times New Roman" w:hAnsi="Trebuchet MS" w:cs="Times New Roman"/>
          <w:color w:val="000080"/>
          <w:kern w:val="0"/>
          <w:sz w:val="28"/>
          <w:szCs w:val="28"/>
          <w:shd w:val="clear" w:color="auto" w:fill="FFFFFF"/>
          <w14:ligatures w14:val="none"/>
        </w:rPr>
        <w:t> </w:t>
      </w:r>
      <w:r w:rsidRPr="00FB6516">
        <w:rPr>
          <w:rFonts w:ascii="Trebuchet MS" w:eastAsia="Times New Roman" w:hAnsi="Trebuchet MS" w:cs="Times New Roman"/>
          <w:color w:val="000080"/>
          <w:kern w:val="0"/>
          <w:sz w:val="28"/>
          <w:szCs w:val="28"/>
          <w:shd w:val="clear" w:color="auto" w:fill="FFFFFF"/>
          <w14:ligatures w14:val="none"/>
        </w:rPr>
        <w:t>Except as provided in paragraph (b), any candidate required to dispose of funds pursuant to this section shall, at the option of the candidate, dispose of such funds by any of the following means, or any combination thereof:</w:t>
      </w:r>
    </w:p>
    <w:p w14:paraId="53539CE1" w14:textId="77777777" w:rsidR="00FB6516" w:rsidRPr="00FB6516" w:rsidRDefault="00FB6516" w:rsidP="00FB6516">
      <w:pPr>
        <w:shd w:val="clear" w:color="auto" w:fill="FFFFFF"/>
        <w:spacing w:after="0" w:line="360" w:lineRule="auto"/>
        <w:ind w:firstLine="200"/>
        <w:jc w:val="both"/>
        <w:rPr>
          <w:rFonts w:ascii="Trebuchet MS" w:eastAsia="Times New Roman" w:hAnsi="Trebuchet MS" w:cs="Times New Roman"/>
          <w:color w:val="000080"/>
          <w:kern w:val="0"/>
          <w:sz w:val="28"/>
          <w:szCs w:val="28"/>
          <w14:ligatures w14:val="none"/>
        </w:rPr>
      </w:pPr>
      <w:r w:rsidRPr="00FB6516">
        <w:rPr>
          <w:rFonts w:ascii="Trebuchet MS" w:eastAsia="Times New Roman" w:hAnsi="Trebuchet MS" w:cs="Times New Roman"/>
          <w:color w:val="000080"/>
          <w:kern w:val="0"/>
          <w:sz w:val="28"/>
          <w:szCs w:val="28"/>
          <w14:ligatures w14:val="none"/>
        </w:rPr>
        <w:t>1.</w:t>
      </w:r>
      <w:r w:rsidRPr="00FB6516">
        <w:rPr>
          <w:rFonts w:ascii="Trebuchet MS" w:eastAsia="Times New Roman" w:hAnsi="Trebuchet MS" w:cs="Times New Roman"/>
          <w:color w:val="000080"/>
          <w:kern w:val="0"/>
          <w:sz w:val="28"/>
          <w:szCs w:val="28"/>
          <w14:ligatures w14:val="none"/>
        </w:rPr>
        <w:t> </w:t>
      </w:r>
      <w:r w:rsidRPr="00FB6516">
        <w:rPr>
          <w:rFonts w:ascii="Trebuchet MS" w:eastAsia="Times New Roman" w:hAnsi="Trebuchet MS" w:cs="Times New Roman"/>
          <w:color w:val="000080"/>
          <w:kern w:val="0"/>
          <w:sz w:val="28"/>
          <w:szCs w:val="28"/>
          <w14:ligatures w14:val="none"/>
        </w:rPr>
        <w:t>Return pro rata to each contributor the funds that have not been spent or obligated.</w:t>
      </w:r>
    </w:p>
    <w:p w14:paraId="49B650E9" w14:textId="77777777" w:rsidR="00FB6516" w:rsidRPr="00FB6516" w:rsidRDefault="00FB6516" w:rsidP="00FB6516">
      <w:pPr>
        <w:shd w:val="clear" w:color="auto" w:fill="FFFFFF"/>
        <w:spacing w:after="0" w:line="360" w:lineRule="auto"/>
        <w:ind w:firstLine="200"/>
        <w:jc w:val="both"/>
        <w:rPr>
          <w:rFonts w:ascii="Trebuchet MS" w:eastAsia="Times New Roman" w:hAnsi="Trebuchet MS" w:cs="Times New Roman"/>
          <w:color w:val="000080"/>
          <w:kern w:val="0"/>
          <w:sz w:val="28"/>
          <w:szCs w:val="28"/>
          <w14:ligatures w14:val="none"/>
        </w:rPr>
      </w:pPr>
      <w:r w:rsidRPr="00FB6516">
        <w:rPr>
          <w:rFonts w:ascii="Trebuchet MS" w:eastAsia="Times New Roman" w:hAnsi="Trebuchet MS" w:cs="Times New Roman"/>
          <w:color w:val="000080"/>
          <w:kern w:val="0"/>
          <w:sz w:val="28"/>
          <w:szCs w:val="28"/>
          <w14:ligatures w14:val="none"/>
        </w:rPr>
        <w:t>2.</w:t>
      </w:r>
      <w:r w:rsidRPr="00FB6516">
        <w:rPr>
          <w:rFonts w:ascii="Trebuchet MS" w:eastAsia="Times New Roman" w:hAnsi="Trebuchet MS" w:cs="Times New Roman"/>
          <w:color w:val="000080"/>
          <w:kern w:val="0"/>
          <w:sz w:val="28"/>
          <w:szCs w:val="28"/>
          <w14:ligatures w14:val="none"/>
        </w:rPr>
        <w:t> </w:t>
      </w:r>
      <w:r w:rsidRPr="00FB6516">
        <w:rPr>
          <w:rFonts w:ascii="Trebuchet MS" w:eastAsia="Times New Roman" w:hAnsi="Trebuchet MS" w:cs="Times New Roman"/>
          <w:color w:val="000080"/>
          <w:kern w:val="0"/>
          <w:sz w:val="28"/>
          <w:szCs w:val="28"/>
          <w14:ligatures w14:val="none"/>
        </w:rPr>
        <w:t>Donate the funds that have not been spent or obligated to a charitable organization or organizations that meet the qualifications of s. 501(c)(3) of the Internal Revenue Code, except that the candidate may not be employed by the charitable organization to which he or she donates the funds.</w:t>
      </w:r>
    </w:p>
    <w:p w14:paraId="724AC712" w14:textId="77777777" w:rsidR="00FB6516" w:rsidRPr="00FB6516" w:rsidRDefault="00FB6516" w:rsidP="00FB6516">
      <w:pPr>
        <w:shd w:val="clear" w:color="auto" w:fill="FFFFFF"/>
        <w:spacing w:after="0" w:line="360" w:lineRule="auto"/>
        <w:ind w:firstLine="200"/>
        <w:jc w:val="both"/>
        <w:rPr>
          <w:rFonts w:ascii="Trebuchet MS" w:eastAsia="Times New Roman" w:hAnsi="Trebuchet MS" w:cs="Times New Roman"/>
          <w:color w:val="000080"/>
          <w:kern w:val="0"/>
          <w:sz w:val="28"/>
          <w:szCs w:val="28"/>
          <w14:ligatures w14:val="none"/>
        </w:rPr>
      </w:pPr>
      <w:r w:rsidRPr="00FB6516">
        <w:rPr>
          <w:rFonts w:ascii="Trebuchet MS" w:eastAsia="Times New Roman" w:hAnsi="Trebuchet MS" w:cs="Times New Roman"/>
          <w:color w:val="000080"/>
          <w:kern w:val="0"/>
          <w:sz w:val="28"/>
          <w:szCs w:val="28"/>
          <w14:ligatures w14:val="none"/>
        </w:rPr>
        <w:t>3.</w:t>
      </w:r>
      <w:r w:rsidRPr="00FB6516">
        <w:rPr>
          <w:rFonts w:ascii="Trebuchet MS" w:eastAsia="Times New Roman" w:hAnsi="Trebuchet MS" w:cs="Times New Roman"/>
          <w:color w:val="000080"/>
          <w:kern w:val="0"/>
          <w:sz w:val="28"/>
          <w:szCs w:val="28"/>
          <w14:ligatures w14:val="none"/>
        </w:rPr>
        <w:t> </w:t>
      </w:r>
      <w:r w:rsidRPr="00FB6516">
        <w:rPr>
          <w:rFonts w:ascii="Trebuchet MS" w:eastAsia="Times New Roman" w:hAnsi="Trebuchet MS" w:cs="Times New Roman"/>
          <w:color w:val="000080"/>
          <w:kern w:val="0"/>
          <w:sz w:val="28"/>
          <w:szCs w:val="28"/>
          <w14:ligatures w14:val="none"/>
        </w:rPr>
        <w:t>Give not more than $25,000 of the funds that have not been spent or obligated to the affiliated party committee or political party of which such candidate is a member.</w:t>
      </w:r>
    </w:p>
    <w:p w14:paraId="39C3E1DE" w14:textId="77777777" w:rsidR="00FB6516" w:rsidRPr="00FB6516" w:rsidRDefault="00FB6516" w:rsidP="00FB6516">
      <w:pPr>
        <w:shd w:val="clear" w:color="auto" w:fill="FFFFFF"/>
        <w:spacing w:after="0" w:line="360" w:lineRule="auto"/>
        <w:ind w:firstLine="200"/>
        <w:jc w:val="both"/>
        <w:rPr>
          <w:rFonts w:ascii="Trebuchet MS" w:eastAsia="Times New Roman" w:hAnsi="Trebuchet MS" w:cs="Times New Roman"/>
          <w:color w:val="000080"/>
          <w:kern w:val="0"/>
          <w:sz w:val="28"/>
          <w:szCs w:val="28"/>
          <w14:ligatures w14:val="none"/>
        </w:rPr>
      </w:pPr>
      <w:r w:rsidRPr="00FB6516">
        <w:rPr>
          <w:rFonts w:ascii="Trebuchet MS" w:eastAsia="Times New Roman" w:hAnsi="Trebuchet MS" w:cs="Times New Roman"/>
          <w:color w:val="000080"/>
          <w:kern w:val="0"/>
          <w:sz w:val="28"/>
          <w:szCs w:val="28"/>
          <w14:ligatures w14:val="none"/>
        </w:rPr>
        <w:t>4.</w:t>
      </w:r>
      <w:r w:rsidRPr="00FB6516">
        <w:rPr>
          <w:rFonts w:ascii="Trebuchet MS" w:eastAsia="Times New Roman" w:hAnsi="Trebuchet MS" w:cs="Times New Roman"/>
          <w:color w:val="000080"/>
          <w:kern w:val="0"/>
          <w:sz w:val="28"/>
          <w:szCs w:val="28"/>
          <w14:ligatures w14:val="none"/>
        </w:rPr>
        <w:t> </w:t>
      </w:r>
      <w:r w:rsidRPr="00FB6516">
        <w:rPr>
          <w:rFonts w:ascii="Trebuchet MS" w:eastAsia="Times New Roman" w:hAnsi="Trebuchet MS" w:cs="Times New Roman"/>
          <w:color w:val="000080"/>
          <w:kern w:val="0"/>
          <w:sz w:val="28"/>
          <w:szCs w:val="28"/>
          <w14:ligatures w14:val="none"/>
        </w:rPr>
        <w:t>Give the funds that have not been spent or obligated:</w:t>
      </w:r>
    </w:p>
    <w:p w14:paraId="2ABCE3E2" w14:textId="77777777" w:rsidR="00FB6516" w:rsidRPr="00FB6516" w:rsidRDefault="00FB6516" w:rsidP="00FB6516">
      <w:pPr>
        <w:shd w:val="clear" w:color="auto" w:fill="FFFFFF"/>
        <w:spacing w:after="0" w:line="360" w:lineRule="auto"/>
        <w:ind w:firstLine="240"/>
        <w:jc w:val="both"/>
        <w:rPr>
          <w:rFonts w:ascii="Trebuchet MS" w:eastAsia="Times New Roman" w:hAnsi="Trebuchet MS" w:cs="Times New Roman"/>
          <w:color w:val="000080"/>
          <w:kern w:val="0"/>
          <w:sz w:val="28"/>
          <w:szCs w:val="28"/>
          <w14:ligatures w14:val="none"/>
        </w:rPr>
      </w:pPr>
      <w:r w:rsidRPr="00FB6516">
        <w:rPr>
          <w:rFonts w:ascii="Trebuchet MS" w:eastAsia="Times New Roman" w:hAnsi="Trebuchet MS" w:cs="Times New Roman"/>
          <w:color w:val="000080"/>
          <w:kern w:val="0"/>
          <w:sz w:val="28"/>
          <w:szCs w:val="28"/>
          <w14:ligatures w14:val="none"/>
        </w:rPr>
        <w:t>a.</w:t>
      </w:r>
      <w:r w:rsidRPr="00FB6516">
        <w:rPr>
          <w:rFonts w:ascii="Trebuchet MS" w:eastAsia="Times New Roman" w:hAnsi="Trebuchet MS" w:cs="Times New Roman"/>
          <w:color w:val="000080"/>
          <w:kern w:val="0"/>
          <w:sz w:val="28"/>
          <w:szCs w:val="28"/>
          <w14:ligatures w14:val="none"/>
        </w:rPr>
        <w:t> </w:t>
      </w:r>
      <w:r w:rsidRPr="00FB6516">
        <w:rPr>
          <w:rFonts w:ascii="Trebuchet MS" w:eastAsia="Times New Roman" w:hAnsi="Trebuchet MS" w:cs="Times New Roman"/>
          <w:color w:val="000080"/>
          <w:kern w:val="0"/>
          <w:sz w:val="28"/>
          <w:szCs w:val="28"/>
          <w14:ligatures w14:val="none"/>
        </w:rPr>
        <w:t>To the state, to be deposited in either the </w:t>
      </w:r>
      <w:hyperlink r:id="rId6" w:anchor="2" w:history="1">
        <w:r w:rsidRPr="00FB6516">
          <w:rPr>
            <w:rFonts w:ascii="Trebuchet MS" w:eastAsia="Times New Roman" w:hAnsi="Trebuchet MS" w:cs="Times New Roman"/>
            <w:color w:val="000080"/>
            <w:kern w:val="0"/>
            <w:sz w:val="28"/>
            <w:szCs w:val="28"/>
            <w:u w:val="single"/>
            <w:vertAlign w:val="superscript"/>
            <w14:ligatures w14:val="none"/>
          </w:rPr>
          <w:t>2</w:t>
        </w:r>
      </w:hyperlink>
      <w:r w:rsidRPr="00FB6516">
        <w:rPr>
          <w:rFonts w:ascii="Trebuchet MS" w:eastAsia="Times New Roman" w:hAnsi="Trebuchet MS" w:cs="Times New Roman"/>
          <w:color w:val="000080"/>
          <w:kern w:val="0"/>
          <w:sz w:val="28"/>
          <w:szCs w:val="28"/>
          <w14:ligatures w14:val="none"/>
        </w:rPr>
        <w:t>Election Campaign Financing Trust Fund or the General Revenue Fund, as designated by the candidate; or</w:t>
      </w:r>
    </w:p>
    <w:p w14:paraId="2B7F0D99" w14:textId="77777777" w:rsidR="00FB6516" w:rsidRPr="00FB6516" w:rsidRDefault="00FB6516" w:rsidP="00FB6516">
      <w:pPr>
        <w:shd w:val="clear" w:color="auto" w:fill="FFFFFF"/>
        <w:spacing w:after="0" w:line="360" w:lineRule="auto"/>
        <w:ind w:firstLine="240"/>
        <w:jc w:val="both"/>
        <w:rPr>
          <w:rFonts w:ascii="Trebuchet MS" w:eastAsia="Times New Roman" w:hAnsi="Trebuchet MS" w:cs="Times New Roman"/>
          <w:color w:val="000080"/>
          <w:kern w:val="0"/>
          <w:sz w:val="28"/>
          <w:szCs w:val="28"/>
          <w14:ligatures w14:val="none"/>
        </w:rPr>
      </w:pPr>
      <w:r w:rsidRPr="00FB6516">
        <w:rPr>
          <w:rFonts w:ascii="Trebuchet MS" w:eastAsia="Times New Roman" w:hAnsi="Trebuchet MS" w:cs="Times New Roman"/>
          <w:color w:val="000080"/>
          <w:kern w:val="0"/>
          <w:sz w:val="28"/>
          <w:szCs w:val="28"/>
          <w14:ligatures w14:val="none"/>
        </w:rPr>
        <w:t>b.</w:t>
      </w:r>
      <w:r w:rsidRPr="00FB6516">
        <w:rPr>
          <w:rFonts w:ascii="Trebuchet MS" w:eastAsia="Times New Roman" w:hAnsi="Trebuchet MS" w:cs="Times New Roman"/>
          <w:color w:val="000080"/>
          <w:kern w:val="0"/>
          <w:sz w:val="28"/>
          <w:szCs w:val="28"/>
          <w14:ligatures w14:val="none"/>
        </w:rPr>
        <w:t> </w:t>
      </w:r>
      <w:r w:rsidRPr="00FB6516">
        <w:rPr>
          <w:rFonts w:ascii="Trebuchet MS" w:eastAsia="Times New Roman" w:hAnsi="Trebuchet MS" w:cs="Times New Roman"/>
          <w:color w:val="000080"/>
          <w:kern w:val="0"/>
          <w:sz w:val="28"/>
          <w:szCs w:val="28"/>
          <w14:ligatures w14:val="none"/>
        </w:rPr>
        <w:t>To a political subdivision, to be deposited in the general fund thereof.</w:t>
      </w:r>
    </w:p>
    <w:p w14:paraId="36DD49B7" w14:textId="3EAD1D8F" w:rsidR="00E10213" w:rsidRDefault="00E10213">
      <w:pPr>
        <w:spacing w:after="160" w:line="259" w:lineRule="auto"/>
      </w:pPr>
      <w:r>
        <w:br w:type="page"/>
      </w:r>
    </w:p>
    <w:p w14:paraId="1BAAF108" w14:textId="77777777" w:rsidR="00E10213" w:rsidRPr="00E10213" w:rsidRDefault="00E10213" w:rsidP="00E10213">
      <w:pPr>
        <w:spacing w:line="360" w:lineRule="auto"/>
        <w:jc w:val="both"/>
        <w:rPr>
          <w:sz w:val="28"/>
          <w:szCs w:val="28"/>
          <w:u w:val="single"/>
        </w:rPr>
      </w:pPr>
      <w:r w:rsidRPr="00E10213">
        <w:rPr>
          <w:sz w:val="28"/>
          <w:szCs w:val="28"/>
          <w:u w:val="single"/>
        </w:rPr>
        <w:lastRenderedPageBreak/>
        <w:t xml:space="preserve">Candidate &amp; Campaign Treasurer Handbook </w:t>
      </w:r>
    </w:p>
    <w:p w14:paraId="14C44252" w14:textId="77777777" w:rsidR="00E10213" w:rsidRDefault="00E10213" w:rsidP="00E10213">
      <w:pPr>
        <w:spacing w:line="360" w:lineRule="auto"/>
        <w:jc w:val="both"/>
        <w:rPr>
          <w:sz w:val="28"/>
          <w:szCs w:val="28"/>
        </w:rPr>
      </w:pPr>
      <w:r w:rsidRPr="00E10213">
        <w:rPr>
          <w:sz w:val="28"/>
          <w:szCs w:val="28"/>
        </w:rPr>
        <w:t>Content of Report</w:t>
      </w:r>
      <w:r>
        <w:rPr>
          <w:sz w:val="28"/>
          <w:szCs w:val="28"/>
        </w:rPr>
        <w:t>:</w:t>
      </w:r>
    </w:p>
    <w:p w14:paraId="3CC30BBE" w14:textId="48310607" w:rsidR="00E10213" w:rsidRDefault="00E10213" w:rsidP="00E10213">
      <w:pPr>
        <w:spacing w:line="360" w:lineRule="auto"/>
        <w:jc w:val="both"/>
        <w:rPr>
          <w:sz w:val="28"/>
          <w:szCs w:val="28"/>
        </w:rPr>
      </w:pPr>
      <w:r w:rsidRPr="00E10213">
        <w:rPr>
          <w:sz w:val="28"/>
          <w:szCs w:val="28"/>
        </w:rPr>
        <w:t xml:space="preserve">The termination report must include: </w:t>
      </w:r>
    </w:p>
    <w:p w14:paraId="0368EAEE" w14:textId="499C9E6B" w:rsidR="00E10213" w:rsidRPr="00E10213" w:rsidRDefault="00E10213" w:rsidP="00E10213">
      <w:pPr>
        <w:pStyle w:val="ListParagraph"/>
        <w:numPr>
          <w:ilvl w:val="0"/>
          <w:numId w:val="1"/>
        </w:numPr>
        <w:spacing w:line="360" w:lineRule="auto"/>
        <w:jc w:val="both"/>
        <w:rPr>
          <w:sz w:val="28"/>
          <w:szCs w:val="28"/>
        </w:rPr>
      </w:pPr>
      <w:r w:rsidRPr="00E10213">
        <w:rPr>
          <w:sz w:val="28"/>
          <w:szCs w:val="28"/>
        </w:rPr>
        <w:t xml:space="preserve">The name and address of each person or unit of government to whom any of the funds were distributed and the amounts thereof; </w:t>
      </w:r>
    </w:p>
    <w:p w14:paraId="5F56A704" w14:textId="04083D92" w:rsidR="00E10213" w:rsidRPr="00E10213" w:rsidRDefault="00E10213" w:rsidP="00E10213">
      <w:pPr>
        <w:pStyle w:val="ListParagraph"/>
        <w:numPr>
          <w:ilvl w:val="0"/>
          <w:numId w:val="1"/>
        </w:numPr>
        <w:spacing w:line="360" w:lineRule="auto"/>
        <w:jc w:val="both"/>
        <w:rPr>
          <w:sz w:val="28"/>
          <w:szCs w:val="28"/>
        </w:rPr>
      </w:pPr>
      <w:r w:rsidRPr="00E10213">
        <w:rPr>
          <w:sz w:val="28"/>
          <w:szCs w:val="28"/>
        </w:rPr>
        <w:t xml:space="preserve">The name and address of each person to whom an expenditure was made together with the amount and purpose; and </w:t>
      </w:r>
    </w:p>
    <w:p w14:paraId="5E85D0B5" w14:textId="01292351" w:rsidR="00E10213" w:rsidRPr="00E10213" w:rsidRDefault="00E10213" w:rsidP="00E10213">
      <w:pPr>
        <w:pStyle w:val="ListParagraph"/>
        <w:numPr>
          <w:ilvl w:val="0"/>
          <w:numId w:val="1"/>
        </w:numPr>
        <w:spacing w:line="360" w:lineRule="auto"/>
        <w:jc w:val="both"/>
        <w:rPr>
          <w:sz w:val="28"/>
          <w:szCs w:val="28"/>
        </w:rPr>
      </w:pPr>
      <w:r w:rsidRPr="00E10213">
        <w:rPr>
          <w:sz w:val="28"/>
          <w:szCs w:val="28"/>
        </w:rPr>
        <w:t xml:space="preserve">The amount of such funds transferred to an office account together with the name and address of the bank in which the office account is located. </w:t>
      </w:r>
    </w:p>
    <w:p w14:paraId="1253D2F7" w14:textId="07702A97" w:rsidR="00FB6516" w:rsidRPr="00E10213" w:rsidRDefault="00E10213" w:rsidP="00E10213">
      <w:pPr>
        <w:pStyle w:val="ListParagraph"/>
        <w:numPr>
          <w:ilvl w:val="0"/>
          <w:numId w:val="1"/>
        </w:numPr>
        <w:spacing w:line="360" w:lineRule="auto"/>
        <w:jc w:val="both"/>
        <w:rPr>
          <w:sz w:val="28"/>
          <w:szCs w:val="28"/>
        </w:rPr>
      </w:pPr>
      <w:r w:rsidRPr="00E10213">
        <w:rPr>
          <w:sz w:val="28"/>
          <w:szCs w:val="28"/>
        </w:rPr>
        <w:t>The amount of such funds retained in a campaign account pursuant to Section 106.141(6) Florida Statutes, together with the name and address of the bank in which the retained funds are located. If a refund check is received after all surplus funds have been disposed of, the check may be endorsed by the candidate and the refund disposed of pursuant to Section 106.141, Florida Statutes. An amended termination report must be filed with the filing officer. All reports must be signed by the candidate and the campaign treasurer and certified as true and correct. (Section 106.141(8), Fla. Stat.)</w:t>
      </w:r>
    </w:p>
    <w:sectPr w:rsidR="00FB6516" w:rsidRPr="00E102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F2EEC"/>
    <w:multiLevelType w:val="hybridMultilevel"/>
    <w:tmpl w:val="48A6628C"/>
    <w:lvl w:ilvl="0" w:tplc="B0C2A57A">
      <w:start w:val="1"/>
      <w:numFmt w:val="decimal"/>
      <w:lvlText w:val="%1."/>
      <w:lvlJc w:val="left"/>
      <w:pPr>
        <w:ind w:left="720" w:hanging="360"/>
      </w:pPr>
      <w:rPr>
        <w:rFonts w:ascii="Arial" w:hAnsi="Arial" w:cs="Times New Roman" w:hint="default"/>
        <w:b w:val="0"/>
        <w:bCs w:val="0"/>
        <w:i w:val="0"/>
        <w:iCs w:val="0"/>
        <w:spacing w:val="0"/>
        <w:w w:val="100"/>
        <w:sz w:val="28"/>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DF0F92"/>
    <w:multiLevelType w:val="hybridMultilevel"/>
    <w:tmpl w:val="D2407340"/>
    <w:lvl w:ilvl="0" w:tplc="888E2C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7413544">
    <w:abstractNumId w:val="0"/>
  </w:num>
  <w:num w:numId="2" w16cid:durableId="713313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E6C"/>
    <w:rsid w:val="001C3FEB"/>
    <w:rsid w:val="002978E8"/>
    <w:rsid w:val="00485B2C"/>
    <w:rsid w:val="005207C0"/>
    <w:rsid w:val="005F1611"/>
    <w:rsid w:val="009C7EFB"/>
    <w:rsid w:val="00B82673"/>
    <w:rsid w:val="00DD6E6C"/>
    <w:rsid w:val="00E10213"/>
    <w:rsid w:val="00E37B35"/>
    <w:rsid w:val="00F50201"/>
    <w:rsid w:val="00FB6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E1236"/>
  <w15:chartTrackingRefBased/>
  <w15:docId w15:val="{9BA7B95E-E420-4916-B568-729054EAF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50201"/>
    <w:pPr>
      <w:spacing w:after="120" w:line="240" w:lineRule="auto"/>
    </w:pPr>
    <w:rPr>
      <w:rFonts w:ascii="Arial" w:hAnsi="Arial"/>
      <w:sz w:val="24"/>
      <w:szCs w:val="24"/>
    </w:rPr>
  </w:style>
  <w:style w:type="paragraph" w:styleId="Heading1">
    <w:name w:val="heading 1"/>
    <w:basedOn w:val="Normal"/>
    <w:next w:val="Normal"/>
    <w:link w:val="Heading1Char"/>
    <w:uiPriority w:val="9"/>
    <w:qFormat/>
    <w:rsid w:val="00DD6E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6E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6E6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6E6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D6E6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D6E6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D6E6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D6E6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D6E6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37B35"/>
    <w:pPr>
      <w:framePr w:w="7920" w:h="1980" w:hRule="exact" w:hSpace="180" w:wrap="auto" w:hAnchor="page" w:xAlign="center" w:yAlign="bottom"/>
      <w:spacing w:after="0"/>
      <w:ind w:left="2880"/>
    </w:pPr>
    <w:rPr>
      <w:rFonts w:eastAsiaTheme="majorEastAsia" w:cstheme="majorBidi"/>
    </w:rPr>
  </w:style>
  <w:style w:type="character" w:customStyle="1" w:styleId="Heading1Char">
    <w:name w:val="Heading 1 Char"/>
    <w:basedOn w:val="DefaultParagraphFont"/>
    <w:link w:val="Heading1"/>
    <w:uiPriority w:val="9"/>
    <w:rsid w:val="00DD6E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6E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6E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6E6C"/>
    <w:rPr>
      <w:rFonts w:eastAsiaTheme="majorEastAsia"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rsid w:val="00DD6E6C"/>
    <w:rPr>
      <w:rFonts w:eastAsiaTheme="majorEastAsia"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DD6E6C"/>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DD6E6C"/>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DD6E6C"/>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DD6E6C"/>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DD6E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E6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E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6E6C"/>
    <w:rPr>
      <w:rFonts w:ascii="Arial" w:hAnsi="Arial"/>
      <w:i/>
      <w:iCs/>
      <w:color w:val="404040" w:themeColor="text1" w:themeTint="BF"/>
      <w:sz w:val="24"/>
      <w:szCs w:val="24"/>
    </w:rPr>
  </w:style>
  <w:style w:type="paragraph" w:styleId="ListParagraph">
    <w:name w:val="List Paragraph"/>
    <w:basedOn w:val="Normal"/>
    <w:uiPriority w:val="34"/>
    <w:qFormat/>
    <w:rsid w:val="00DD6E6C"/>
    <w:pPr>
      <w:ind w:left="720"/>
      <w:contextualSpacing/>
    </w:pPr>
  </w:style>
  <w:style w:type="character" w:styleId="IntenseEmphasis">
    <w:name w:val="Intense Emphasis"/>
    <w:basedOn w:val="DefaultParagraphFont"/>
    <w:uiPriority w:val="21"/>
    <w:qFormat/>
    <w:rsid w:val="00DD6E6C"/>
    <w:rPr>
      <w:i/>
      <w:iCs/>
      <w:color w:val="0F4761" w:themeColor="accent1" w:themeShade="BF"/>
    </w:rPr>
  </w:style>
  <w:style w:type="paragraph" w:styleId="IntenseQuote">
    <w:name w:val="Intense Quote"/>
    <w:basedOn w:val="Normal"/>
    <w:next w:val="Normal"/>
    <w:link w:val="IntenseQuoteChar"/>
    <w:uiPriority w:val="30"/>
    <w:qFormat/>
    <w:rsid w:val="00DD6E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6E6C"/>
    <w:rPr>
      <w:rFonts w:ascii="Arial" w:hAnsi="Arial"/>
      <w:i/>
      <w:iCs/>
      <w:color w:val="0F4761" w:themeColor="accent1" w:themeShade="BF"/>
      <w:sz w:val="24"/>
      <w:szCs w:val="24"/>
    </w:rPr>
  </w:style>
  <w:style w:type="character" w:styleId="IntenseReference">
    <w:name w:val="Intense Reference"/>
    <w:basedOn w:val="DefaultParagraphFont"/>
    <w:uiPriority w:val="32"/>
    <w:qFormat/>
    <w:rsid w:val="00DD6E6C"/>
    <w:rPr>
      <w:b/>
      <w:bCs/>
      <w:smallCaps/>
      <w:color w:val="0F4761" w:themeColor="accent1" w:themeShade="BF"/>
      <w:spacing w:val="5"/>
    </w:rPr>
  </w:style>
  <w:style w:type="character" w:customStyle="1" w:styleId="number">
    <w:name w:val="number"/>
    <w:basedOn w:val="DefaultParagraphFont"/>
    <w:rsid w:val="00DD6E6C"/>
  </w:style>
  <w:style w:type="character" w:customStyle="1" w:styleId="text">
    <w:name w:val="text"/>
    <w:basedOn w:val="DefaultParagraphFont"/>
    <w:rsid w:val="00DD6E6C"/>
  </w:style>
  <w:style w:type="character" w:customStyle="1" w:styleId="sectionnumber">
    <w:name w:val="sectionnumber"/>
    <w:basedOn w:val="DefaultParagraphFont"/>
    <w:rsid w:val="00FB6516"/>
  </w:style>
  <w:style w:type="character" w:customStyle="1" w:styleId="catchlinetext">
    <w:name w:val="catchlinetext"/>
    <w:basedOn w:val="DefaultParagraphFont"/>
    <w:rsid w:val="00FB6516"/>
  </w:style>
  <w:style w:type="character" w:customStyle="1" w:styleId="emdash">
    <w:name w:val="emdash"/>
    <w:basedOn w:val="DefaultParagraphFont"/>
    <w:rsid w:val="00FB6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87415">
      <w:bodyDiv w:val="1"/>
      <w:marLeft w:val="0"/>
      <w:marRight w:val="0"/>
      <w:marTop w:val="0"/>
      <w:marBottom w:val="0"/>
      <w:divBdr>
        <w:top w:val="none" w:sz="0" w:space="0" w:color="auto"/>
        <w:left w:val="none" w:sz="0" w:space="0" w:color="auto"/>
        <w:bottom w:val="none" w:sz="0" w:space="0" w:color="auto"/>
        <w:right w:val="none" w:sz="0" w:space="0" w:color="auto"/>
      </w:divBdr>
      <w:divsChild>
        <w:div w:id="362248767">
          <w:marLeft w:val="0"/>
          <w:marRight w:val="0"/>
          <w:marTop w:val="0"/>
          <w:marBottom w:val="0"/>
          <w:divBdr>
            <w:top w:val="none" w:sz="0" w:space="0" w:color="auto"/>
            <w:left w:val="none" w:sz="0" w:space="0" w:color="auto"/>
            <w:bottom w:val="none" w:sz="0" w:space="0" w:color="auto"/>
            <w:right w:val="none" w:sz="0" w:space="0" w:color="auto"/>
          </w:divBdr>
        </w:div>
        <w:div w:id="1721440499">
          <w:marLeft w:val="0"/>
          <w:marRight w:val="0"/>
          <w:marTop w:val="0"/>
          <w:marBottom w:val="0"/>
          <w:divBdr>
            <w:top w:val="none" w:sz="0" w:space="0" w:color="auto"/>
            <w:left w:val="none" w:sz="0" w:space="0" w:color="auto"/>
            <w:bottom w:val="none" w:sz="0" w:space="0" w:color="auto"/>
            <w:right w:val="none" w:sz="0" w:space="0" w:color="auto"/>
          </w:divBdr>
        </w:div>
        <w:div w:id="686902794">
          <w:marLeft w:val="0"/>
          <w:marRight w:val="0"/>
          <w:marTop w:val="0"/>
          <w:marBottom w:val="0"/>
          <w:divBdr>
            <w:top w:val="none" w:sz="0" w:space="0" w:color="auto"/>
            <w:left w:val="none" w:sz="0" w:space="0" w:color="auto"/>
            <w:bottom w:val="none" w:sz="0" w:space="0" w:color="auto"/>
            <w:right w:val="none" w:sz="0" w:space="0" w:color="auto"/>
          </w:divBdr>
        </w:div>
        <w:div w:id="1726224079">
          <w:marLeft w:val="0"/>
          <w:marRight w:val="0"/>
          <w:marTop w:val="0"/>
          <w:marBottom w:val="0"/>
          <w:divBdr>
            <w:top w:val="none" w:sz="0" w:space="0" w:color="auto"/>
            <w:left w:val="none" w:sz="0" w:space="0" w:color="auto"/>
            <w:bottom w:val="none" w:sz="0" w:space="0" w:color="auto"/>
            <w:right w:val="none" w:sz="0" w:space="0" w:color="auto"/>
          </w:divBdr>
          <w:divsChild>
            <w:div w:id="2117552247">
              <w:marLeft w:val="0"/>
              <w:marRight w:val="0"/>
              <w:marTop w:val="0"/>
              <w:marBottom w:val="0"/>
              <w:divBdr>
                <w:top w:val="none" w:sz="0" w:space="0" w:color="auto"/>
                <w:left w:val="none" w:sz="0" w:space="0" w:color="auto"/>
                <w:bottom w:val="none" w:sz="0" w:space="0" w:color="auto"/>
                <w:right w:val="none" w:sz="0" w:space="0" w:color="auto"/>
              </w:divBdr>
            </w:div>
            <w:div w:id="42404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state.fl.us/Statutes/index.cfm?App_mode=Display_Statute&amp;Search_String=&amp;URL=0100-0199/0106/Sections/0106.141.html" TargetMode="External"/><Relationship Id="rId5" Type="http://schemas.openxmlformats.org/officeDocument/2006/relationships/hyperlink" Target="http://www.leg.state.fl.us/Statutes/index.cfm?App_mode=Display_Statute&amp;Search_String=&amp;URL=0100-0199/0106/Sections/0106.141.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2</Pages>
  <Words>403</Words>
  <Characters>2317</Characters>
  <Application>Microsoft Office Word</Application>
  <DocSecurity>0</DocSecurity>
  <Lines>52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Shinkle</dc:creator>
  <cp:keywords/>
  <dc:description/>
  <cp:lastModifiedBy>Trish Shinkle</cp:lastModifiedBy>
  <cp:revision>1</cp:revision>
  <dcterms:created xsi:type="dcterms:W3CDTF">2025-05-01T12:04:00Z</dcterms:created>
  <dcterms:modified xsi:type="dcterms:W3CDTF">2025-05-01T15:07:00Z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78c37a14-4083-4c54-ae60-74139eb665a5</vt:lpwstr>
  </property>
</Properties>
</file>