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5067" w14:textId="77777777" w:rsidR="00E54DB8" w:rsidRPr="00530A7E" w:rsidRDefault="00E54DB8" w:rsidP="00E54DB8">
      <w:pPr>
        <w:spacing w:before="240" w:after="360"/>
        <w:jc w:val="center"/>
        <w:rPr>
          <w:b/>
          <w:bCs/>
        </w:rPr>
      </w:pPr>
      <w:r w:rsidRPr="00530A7E">
        <w:rPr>
          <w:rFonts w:cs="Times New Roman (Body CS)"/>
          <w:b/>
          <w:bCs/>
          <w:caps/>
          <w:spacing w:val="86"/>
        </w:rPr>
        <w:t>Memorandum</w:t>
      </w:r>
    </w:p>
    <w:p w14:paraId="710745EC" w14:textId="77777777" w:rsidR="00E54DB8" w:rsidRPr="00335780" w:rsidRDefault="00E54DB8" w:rsidP="00E54DB8">
      <w:bookmarkStart w:id="0" w:name="_Hlk5018550"/>
      <w:r w:rsidRPr="00335780">
        <w:rPr>
          <w:b/>
        </w:rPr>
        <w:t>T</w:t>
      </w:r>
      <w:r>
        <w:rPr>
          <w:b/>
        </w:rPr>
        <w:t>o</w:t>
      </w:r>
      <w:r w:rsidRPr="00335780">
        <w:rPr>
          <w:b/>
        </w:rPr>
        <w:t>:</w:t>
      </w:r>
      <w:bookmarkEnd w:id="0"/>
      <w:r w:rsidRPr="00335780">
        <w:tab/>
      </w:r>
      <w:r w:rsidRPr="00335780">
        <w:tab/>
      </w:r>
      <w:r>
        <w:tab/>
        <w:t>Howard Tipton</w:t>
      </w:r>
      <w:r w:rsidRPr="00335780">
        <w:t>, Town Manager</w:t>
      </w:r>
    </w:p>
    <w:p w14:paraId="3F126C04" w14:textId="77777777" w:rsidR="00E54DB8" w:rsidRDefault="00E54DB8" w:rsidP="00E54DB8">
      <w:pPr>
        <w:ind w:left="2160" w:hanging="2160"/>
      </w:pPr>
      <w:r>
        <w:rPr>
          <w:b/>
        </w:rPr>
        <w:t>From</w:t>
      </w:r>
      <w:r w:rsidRPr="00335780">
        <w:rPr>
          <w:rStyle w:val="MessageHeaderLabel"/>
          <w:rFonts w:cs="Arial"/>
          <w:sz w:val="24"/>
          <w:szCs w:val="24"/>
        </w:rPr>
        <w:t>:</w:t>
      </w:r>
      <w:r w:rsidRPr="00335780">
        <w:tab/>
      </w:r>
      <w:r>
        <w:t>Sue Smith, Finance Director</w:t>
      </w:r>
    </w:p>
    <w:p w14:paraId="40C6A3E7" w14:textId="4AC43B43" w:rsidR="00E54DB8" w:rsidRDefault="00E54DB8" w:rsidP="00E54DB8">
      <w:r>
        <w:rPr>
          <w:b/>
        </w:rPr>
        <w:t>Report date</w:t>
      </w:r>
      <w:r w:rsidRPr="00335780">
        <w:rPr>
          <w:b/>
        </w:rPr>
        <w:t>:</w:t>
      </w:r>
      <w:r w:rsidRPr="00335780">
        <w:rPr>
          <w:b/>
        </w:rPr>
        <w:tab/>
      </w:r>
      <w:r>
        <w:rPr>
          <w:b/>
        </w:rPr>
        <w:tab/>
      </w:r>
      <w:r w:rsidR="00307738">
        <w:t>November 15, 2024</w:t>
      </w:r>
    </w:p>
    <w:p w14:paraId="1F8AB594" w14:textId="65225294" w:rsidR="00E54DB8" w:rsidRPr="000B67FA" w:rsidRDefault="00E54DB8" w:rsidP="00E54DB8">
      <w:pPr>
        <w:rPr>
          <w:b/>
        </w:rPr>
      </w:pPr>
      <w:r>
        <w:rPr>
          <w:b/>
        </w:rPr>
        <w:t>Meeting date</w:t>
      </w:r>
      <w:r w:rsidRPr="000B67FA">
        <w:rPr>
          <w:b/>
        </w:rPr>
        <w:t xml:space="preserve">: </w:t>
      </w:r>
      <w:r w:rsidRPr="000B67FA">
        <w:rPr>
          <w:b/>
        </w:rPr>
        <w:tab/>
      </w:r>
      <w:r w:rsidR="00307738">
        <w:t xml:space="preserve">December </w:t>
      </w:r>
      <w:r>
        <w:t>2, 2024</w:t>
      </w:r>
    </w:p>
    <w:p w14:paraId="7027B63C" w14:textId="0983428E" w:rsidR="00E54DB8" w:rsidRPr="00CD7AA7" w:rsidRDefault="00E54DB8" w:rsidP="00E54DB8">
      <w:pPr>
        <w:pStyle w:val="Heading1"/>
        <w:ind w:left="2160" w:hanging="2160"/>
        <w:rPr>
          <w:b w:val="0"/>
          <w:color w:val="FF0000"/>
        </w:rPr>
      </w:pPr>
      <w:r w:rsidRPr="000A5BDE">
        <w:t>Subject</w:t>
      </w:r>
      <w:r w:rsidRPr="0018057D">
        <w:t xml:space="preserve">: </w:t>
      </w:r>
      <w:r w:rsidRPr="0018057D">
        <w:tab/>
      </w:r>
      <w:r>
        <w:rPr>
          <w:b w:val="0"/>
        </w:rPr>
        <w:t>Resolution 2024-</w:t>
      </w:r>
      <w:r w:rsidR="00307738">
        <w:rPr>
          <w:b w:val="0"/>
        </w:rPr>
        <w:t>2</w:t>
      </w:r>
      <w:r w:rsidR="004D3ED6">
        <w:rPr>
          <w:b w:val="0"/>
        </w:rPr>
        <w:t>7</w:t>
      </w:r>
      <w:r>
        <w:rPr>
          <w:b w:val="0"/>
        </w:rPr>
        <w:t xml:space="preserve">, Amending the FY24 Adopted Budget for Year-End Transfers in the </w:t>
      </w:r>
      <w:r w:rsidR="00307738">
        <w:rPr>
          <w:b w:val="0"/>
        </w:rPr>
        <w:t>General Fund for Hurricane Helene</w:t>
      </w:r>
    </w:p>
    <w:p w14:paraId="5C82A13E" w14:textId="77777777" w:rsidR="00E54DB8" w:rsidRPr="000B67FA" w:rsidRDefault="00E54DB8" w:rsidP="00E54DB8">
      <w:pPr>
        <w:pStyle w:val="Heading2"/>
      </w:pPr>
      <w:r w:rsidRPr="006F30E4">
        <w:t>Recommended</w:t>
      </w:r>
      <w:r w:rsidRPr="000B67FA">
        <w:t xml:space="preserve"> Action</w:t>
      </w:r>
    </w:p>
    <w:p w14:paraId="1A70B7D8" w14:textId="02AC2B61" w:rsidR="00E54DB8" w:rsidRPr="004B3CA0" w:rsidRDefault="00E54DB8" w:rsidP="00E54DB8">
      <w:pPr>
        <w:rPr>
          <w:rFonts w:cs="Arial"/>
          <w:szCs w:val="24"/>
        </w:rPr>
      </w:pPr>
      <w:r>
        <w:rPr>
          <w:rFonts w:cs="Arial"/>
          <w:szCs w:val="24"/>
        </w:rPr>
        <w:t>Pass Resolution 2024-</w:t>
      </w:r>
      <w:r w:rsidR="00307738">
        <w:rPr>
          <w:rFonts w:cs="Arial"/>
          <w:szCs w:val="24"/>
        </w:rPr>
        <w:t>2</w:t>
      </w:r>
      <w:r w:rsidR="00304278">
        <w:rPr>
          <w:rFonts w:cs="Arial"/>
          <w:szCs w:val="24"/>
        </w:rPr>
        <w:t>7</w:t>
      </w:r>
    </w:p>
    <w:p w14:paraId="714997A8" w14:textId="77777777" w:rsidR="00E54DB8" w:rsidRPr="000B67FA" w:rsidRDefault="00E54DB8" w:rsidP="00E54DB8">
      <w:pPr>
        <w:pStyle w:val="Heading2"/>
        <w:spacing w:before="120"/>
      </w:pPr>
      <w:r w:rsidRPr="000B67FA">
        <w:t>Background</w:t>
      </w:r>
    </w:p>
    <w:p w14:paraId="11133008" w14:textId="44912DFC" w:rsidR="00DC4536" w:rsidRDefault="00DC4536" w:rsidP="001B7776">
      <w:pPr>
        <w:spacing w:after="120"/>
        <w:jc w:val="both"/>
      </w:pPr>
      <w:r>
        <w:t xml:space="preserve">Two budget amendments are being presented to the Town Commission at the December 2, 2024 Regular Meeting in response to the impacts of costs associated with Hurricanes Helene and Milton which recently affected our community, making landfall in Florida on September 26, 2024 and October 9, 2024, respectively. Resolution 2024-27 adjusts the FY2024 Budget for overtime costs incurred prior to September 30, 2024 for </w:t>
      </w:r>
      <w:r w:rsidR="00FA4A4F">
        <w:t xml:space="preserve">Hurricane </w:t>
      </w:r>
      <w:r>
        <w:t>Helene. The second, Resolution 2024-</w:t>
      </w:r>
      <w:proofErr w:type="gramStart"/>
      <w:r>
        <w:t xml:space="preserve">25, </w:t>
      </w:r>
      <w:r w:rsidR="00FA4A4F">
        <w:t xml:space="preserve"> </w:t>
      </w:r>
      <w:r>
        <w:t>adjusts</w:t>
      </w:r>
      <w:proofErr w:type="gramEnd"/>
      <w:r>
        <w:t xml:space="preserve"> the FY2025 Budget for debris removal and additional overtime costs for Hurricanes Helene and Milton.</w:t>
      </w:r>
    </w:p>
    <w:p w14:paraId="282656C2" w14:textId="77777777" w:rsidR="00DC4536" w:rsidRDefault="00DC4536" w:rsidP="001B7776">
      <w:pPr>
        <w:pStyle w:val="PlainText"/>
        <w:jc w:val="both"/>
        <w:rPr>
          <w:rFonts w:ascii="Arial" w:hAnsi="Arial" w:cs="Arial"/>
          <w:sz w:val="24"/>
          <w:szCs w:val="24"/>
        </w:rPr>
      </w:pPr>
      <w:r w:rsidRPr="00C21146">
        <w:rPr>
          <w:rFonts w:ascii="Arial" w:hAnsi="Arial" w:cs="Arial"/>
          <w:sz w:val="24"/>
          <w:szCs w:val="24"/>
        </w:rPr>
        <w:t xml:space="preserve">These storms brought significant challenges, including damage to infrastructure, increased emergency response costs, and the need for recovery and rebuilding efforts. As we </w:t>
      </w:r>
      <w:r>
        <w:rPr>
          <w:rFonts w:ascii="Arial" w:hAnsi="Arial" w:cs="Arial"/>
          <w:sz w:val="24"/>
          <w:szCs w:val="24"/>
        </w:rPr>
        <w:t xml:space="preserve">continue to </w:t>
      </w:r>
      <w:r w:rsidRPr="00C21146">
        <w:rPr>
          <w:rFonts w:ascii="Arial" w:hAnsi="Arial" w:cs="Arial"/>
          <w:sz w:val="24"/>
          <w:szCs w:val="24"/>
        </w:rPr>
        <w:t>assess the financial implications of these hurricanes, it is crucial to allocate the necessary resources to address immediate repairs, enhance our disaster preparedness, and support our residents during this recovery phase. This budget amendment aims to ensure that our town can effectively respond to the aftermath of these storms and maintain the safety and resilience of our community.</w:t>
      </w:r>
      <w:r>
        <w:rPr>
          <w:rFonts w:ascii="Arial" w:hAnsi="Arial" w:cs="Arial"/>
          <w:sz w:val="24"/>
          <w:szCs w:val="24"/>
        </w:rPr>
        <w:t xml:space="preserve"> </w:t>
      </w:r>
    </w:p>
    <w:p w14:paraId="61DB1EA0" w14:textId="77777777" w:rsidR="00DC4536" w:rsidRDefault="00DC4536" w:rsidP="00DC4536">
      <w:pPr>
        <w:pStyle w:val="PlainText"/>
        <w:rPr>
          <w:rFonts w:ascii="Arial" w:hAnsi="Arial" w:cs="Arial"/>
          <w:sz w:val="24"/>
          <w:szCs w:val="24"/>
        </w:rPr>
      </w:pPr>
    </w:p>
    <w:p w14:paraId="2E32CB46" w14:textId="77777777" w:rsidR="00DC4536" w:rsidRDefault="00DC4536" w:rsidP="001B7776">
      <w:pPr>
        <w:pStyle w:val="PlainText"/>
        <w:jc w:val="both"/>
        <w:rPr>
          <w:rFonts w:ascii="Arial" w:hAnsi="Arial" w:cs="Arial"/>
          <w:sz w:val="24"/>
          <w:szCs w:val="24"/>
        </w:rPr>
      </w:pPr>
      <w:r>
        <w:rPr>
          <w:rFonts w:ascii="Arial" w:hAnsi="Arial" w:cs="Arial"/>
          <w:sz w:val="24"/>
          <w:szCs w:val="24"/>
        </w:rPr>
        <w:t>The Town has two sources of funding for unforeseen costs and emergency responses. The first is the Contingency Budget and the second is our Fund Balance reserves. Our Fund Balance policy was designed to include reserves for such emergency responses, which sets aside a desired minimum funding level of 8% to 16% (30 to 60 days) of operating expenditures for Emergency/Natural Disasters. The amount of the reserve, based on the FY2025 cost per day of $62,299 is $3,738,000.</w:t>
      </w:r>
    </w:p>
    <w:p w14:paraId="6DAD0C87" w14:textId="77777777" w:rsidR="00DC4536" w:rsidRPr="00C21146" w:rsidRDefault="00DC4536" w:rsidP="00DC4536">
      <w:pPr>
        <w:pStyle w:val="PlainText"/>
        <w:rPr>
          <w:rFonts w:ascii="Arial" w:hAnsi="Arial" w:cs="Arial"/>
          <w:sz w:val="24"/>
          <w:szCs w:val="24"/>
        </w:rPr>
      </w:pPr>
      <w:r>
        <w:rPr>
          <w:rFonts w:ascii="Arial" w:hAnsi="Arial" w:cs="Arial"/>
          <w:sz w:val="24"/>
          <w:szCs w:val="24"/>
        </w:rPr>
        <w:t xml:space="preserve">  </w:t>
      </w:r>
    </w:p>
    <w:p w14:paraId="22C6778D" w14:textId="77777777" w:rsidR="00DC4536" w:rsidRDefault="00DC4536" w:rsidP="001B7776">
      <w:pPr>
        <w:spacing w:after="120"/>
        <w:jc w:val="both"/>
      </w:pPr>
      <w:r>
        <w:t xml:space="preserve">Finance staff is diligently working with our insurance carrier and FEMA, providing information and documentation for each storm. FEMA has made notification that we will be eligible for Category A through G for both storms. </w:t>
      </w:r>
      <w:r w:rsidRPr="00977351">
        <w:t>For a period of 90 days of the state’s choosing within the first 120 days from the start of the incident period, FEMA is authorized to provide federal funding for debris removal and emergency protective measures (Categories A and B), including direct federal assistance, at 100 percent of the total eligible costs.  After the initial 90 days, the federal reimbursement rate changes to 75%. F</w:t>
      </w:r>
      <w:r>
        <w:t xml:space="preserve">inance also anticipates that some of our overtime costs will not be reimbursed and be </w:t>
      </w:r>
      <w:r>
        <w:lastRenderedPageBreak/>
        <w:t xml:space="preserve">deemed ineligible, such as for standby hours. Those costs will need to be absorbed by the Town. </w:t>
      </w:r>
    </w:p>
    <w:p w14:paraId="32E53444" w14:textId="17AE62BC" w:rsidR="00DC4536" w:rsidRDefault="00DC4536" w:rsidP="001B7776">
      <w:pPr>
        <w:spacing w:after="120"/>
        <w:jc w:val="both"/>
      </w:pPr>
      <w:r>
        <w:t xml:space="preserve">The submission to FEMA can be a very complicated and </w:t>
      </w:r>
      <w:r w:rsidR="001B7776">
        <w:t>time-consuming</w:t>
      </w:r>
      <w:r>
        <w:t xml:space="preserve"> process, with multiple projects being submitted for each storm.</w:t>
      </w:r>
      <w:r w:rsidRPr="004C3D3F">
        <w:t xml:space="preserve"> </w:t>
      </w:r>
      <w:r>
        <w:t xml:space="preserve">Category G costs, which is the loss of sand will be the most complicated, requiring our beach consultants to assist with that process. The timing in which reimbursement will be received is also hard to predict. Past history has shown that smaller projects are reimbursed within or just over a year, as we saw with Hurricane Ian. Other storms such as Hermine have taken over 8 years to recover. </w:t>
      </w:r>
    </w:p>
    <w:p w14:paraId="23704EFD" w14:textId="77777777" w:rsidR="00DC4536" w:rsidRPr="00DC4536" w:rsidRDefault="00DC4536" w:rsidP="0006741C">
      <w:pPr>
        <w:autoSpaceDE w:val="0"/>
        <w:autoSpaceDN w:val="0"/>
        <w:adjustRightInd w:val="0"/>
        <w:spacing w:after="120"/>
        <w:rPr>
          <w:b/>
          <w:bCs/>
        </w:rPr>
      </w:pPr>
      <w:r w:rsidRPr="00DC4536">
        <w:rPr>
          <w:b/>
          <w:bCs/>
        </w:rPr>
        <w:t>Hurricane Helene Overtime</w:t>
      </w:r>
    </w:p>
    <w:p w14:paraId="615FCDBF" w14:textId="7D9DA282" w:rsidR="001F4FC0" w:rsidRDefault="008500F7" w:rsidP="001B7776">
      <w:pPr>
        <w:autoSpaceDE w:val="0"/>
        <w:autoSpaceDN w:val="0"/>
        <w:adjustRightInd w:val="0"/>
        <w:spacing w:after="120"/>
        <w:jc w:val="both"/>
      </w:pPr>
      <w:r>
        <w:t xml:space="preserve">The payroll associated with this storm was paid on October </w:t>
      </w:r>
      <w:r w:rsidR="00192F56">
        <w:t>10</w:t>
      </w:r>
      <w:r>
        <w:t>, 2024. Generally Accepted Accounting Principles (“GAAP”) requires a portion of the payroll earned through September 30</w:t>
      </w:r>
      <w:r w:rsidR="00192F56">
        <w:t>,</w:t>
      </w:r>
      <w:r>
        <w:t xml:space="preserve"> 2024 to be accrued in the FY2024 budget which included overtime associated with Hurricane Helene. </w:t>
      </w:r>
    </w:p>
    <w:p w14:paraId="62319331" w14:textId="0EC224E3" w:rsidR="008500F7" w:rsidRDefault="001F4FC0" w:rsidP="0006741C">
      <w:pPr>
        <w:autoSpaceDE w:val="0"/>
        <w:autoSpaceDN w:val="0"/>
        <w:adjustRightInd w:val="0"/>
        <w:spacing w:after="120"/>
      </w:pPr>
      <w:r>
        <w:t>T</w:t>
      </w:r>
      <w:r w:rsidR="008500F7">
        <w:t xml:space="preserve">he following Departments incurred overtime associated with this </w:t>
      </w:r>
      <w:r w:rsidR="00304278">
        <w:t>Hurrican</w:t>
      </w:r>
      <w:r w:rsidR="00192F56">
        <w:t>e</w:t>
      </w:r>
      <w:r w:rsidR="00304278">
        <w:t xml:space="preserve"> Helene </w:t>
      </w:r>
      <w:r w:rsidR="008500F7">
        <w:t>as follows:</w:t>
      </w:r>
    </w:p>
    <w:tbl>
      <w:tblPr>
        <w:tblStyle w:val="PlainTable4"/>
        <w:tblW w:w="0" w:type="auto"/>
        <w:tblInd w:w="592" w:type="dxa"/>
        <w:tblLook w:val="04A0" w:firstRow="1" w:lastRow="0" w:firstColumn="1" w:lastColumn="0" w:noHBand="0" w:noVBand="1"/>
      </w:tblPr>
      <w:tblGrid>
        <w:gridCol w:w="4675"/>
        <w:gridCol w:w="3155"/>
      </w:tblGrid>
      <w:tr w:rsidR="001F4FC0" w14:paraId="7A21F3A8" w14:textId="77777777" w:rsidTr="00261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0252065" w14:textId="2DF1B045" w:rsidR="001F4FC0" w:rsidRDefault="001F4FC0" w:rsidP="003267BB">
            <w:pPr>
              <w:autoSpaceDE w:val="0"/>
              <w:autoSpaceDN w:val="0"/>
              <w:adjustRightInd w:val="0"/>
              <w:spacing w:after="120"/>
              <w:jc w:val="both"/>
            </w:pPr>
            <w:bookmarkStart w:id="1" w:name="_Hlk148797968"/>
            <w:r>
              <w:t>Department</w:t>
            </w:r>
          </w:p>
        </w:tc>
        <w:tc>
          <w:tcPr>
            <w:tcW w:w="3155" w:type="dxa"/>
          </w:tcPr>
          <w:p w14:paraId="2B586B87" w14:textId="0178CFE4" w:rsidR="001F4FC0" w:rsidRDefault="001F4FC0" w:rsidP="002613DC">
            <w:pPr>
              <w:autoSpaceDE w:val="0"/>
              <w:autoSpaceDN w:val="0"/>
              <w:adjustRightInd w:val="0"/>
              <w:spacing w:after="120"/>
              <w:jc w:val="right"/>
              <w:cnfStyle w:val="100000000000" w:firstRow="1" w:lastRow="0" w:firstColumn="0" w:lastColumn="0" w:oddVBand="0" w:evenVBand="0" w:oddHBand="0" w:evenHBand="0" w:firstRowFirstColumn="0" w:firstRowLastColumn="0" w:lastRowFirstColumn="0" w:lastRowLastColumn="0"/>
            </w:pPr>
            <w:r>
              <w:t xml:space="preserve">Over Time </w:t>
            </w:r>
          </w:p>
        </w:tc>
      </w:tr>
      <w:tr w:rsidR="001F4FC0" w14:paraId="0592E94A" w14:textId="77777777" w:rsidTr="00261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38D658D" w14:textId="4B53B59D" w:rsidR="001F4FC0" w:rsidRPr="001F4FC0" w:rsidRDefault="001F4FC0" w:rsidP="003267BB">
            <w:pPr>
              <w:autoSpaceDE w:val="0"/>
              <w:autoSpaceDN w:val="0"/>
              <w:adjustRightInd w:val="0"/>
              <w:spacing w:after="120"/>
              <w:jc w:val="both"/>
              <w:rPr>
                <w:b w:val="0"/>
                <w:bCs w:val="0"/>
              </w:rPr>
            </w:pPr>
            <w:r w:rsidRPr="001F4FC0">
              <w:rPr>
                <w:b w:val="0"/>
                <w:bCs w:val="0"/>
              </w:rPr>
              <w:t xml:space="preserve">Town Clerk </w:t>
            </w:r>
          </w:p>
        </w:tc>
        <w:tc>
          <w:tcPr>
            <w:tcW w:w="3155" w:type="dxa"/>
          </w:tcPr>
          <w:p w14:paraId="627D8CE4" w14:textId="3762B667" w:rsidR="001F4FC0" w:rsidRDefault="001F4FC0" w:rsidP="002613DC">
            <w:pPr>
              <w:autoSpaceDE w:val="0"/>
              <w:autoSpaceDN w:val="0"/>
              <w:adjustRightInd w:val="0"/>
              <w:spacing w:after="120"/>
              <w:jc w:val="right"/>
              <w:cnfStyle w:val="000000100000" w:firstRow="0" w:lastRow="0" w:firstColumn="0" w:lastColumn="0" w:oddVBand="0" w:evenVBand="0" w:oddHBand="1" w:evenHBand="0" w:firstRowFirstColumn="0" w:firstRowLastColumn="0" w:lastRowFirstColumn="0" w:lastRowLastColumn="0"/>
            </w:pPr>
            <w:r>
              <w:t>$10,875</w:t>
            </w:r>
          </w:p>
        </w:tc>
      </w:tr>
      <w:tr w:rsidR="001F4FC0" w14:paraId="5DCA3E42" w14:textId="77777777" w:rsidTr="002613DC">
        <w:tc>
          <w:tcPr>
            <w:cnfStyle w:val="001000000000" w:firstRow="0" w:lastRow="0" w:firstColumn="1" w:lastColumn="0" w:oddVBand="0" w:evenVBand="0" w:oddHBand="0" w:evenHBand="0" w:firstRowFirstColumn="0" w:firstRowLastColumn="0" w:lastRowFirstColumn="0" w:lastRowLastColumn="0"/>
            <w:tcW w:w="4675" w:type="dxa"/>
          </w:tcPr>
          <w:p w14:paraId="700C62EB" w14:textId="4DBFD71E" w:rsidR="001F4FC0" w:rsidRPr="001F4FC0" w:rsidRDefault="001F4FC0" w:rsidP="003267BB">
            <w:pPr>
              <w:autoSpaceDE w:val="0"/>
              <w:autoSpaceDN w:val="0"/>
              <w:adjustRightInd w:val="0"/>
              <w:spacing w:after="120"/>
              <w:jc w:val="both"/>
              <w:rPr>
                <w:b w:val="0"/>
                <w:bCs w:val="0"/>
              </w:rPr>
            </w:pPr>
            <w:r w:rsidRPr="001F4FC0">
              <w:rPr>
                <w:b w:val="0"/>
                <w:bCs w:val="0"/>
              </w:rPr>
              <w:t>Finance</w:t>
            </w:r>
          </w:p>
        </w:tc>
        <w:tc>
          <w:tcPr>
            <w:tcW w:w="3155" w:type="dxa"/>
          </w:tcPr>
          <w:p w14:paraId="263BC390" w14:textId="406CCF91" w:rsidR="001F4FC0" w:rsidRDefault="001F4FC0" w:rsidP="002613DC">
            <w:pPr>
              <w:autoSpaceDE w:val="0"/>
              <w:autoSpaceDN w:val="0"/>
              <w:adjustRightInd w:val="0"/>
              <w:spacing w:after="120"/>
              <w:jc w:val="right"/>
              <w:cnfStyle w:val="000000000000" w:firstRow="0" w:lastRow="0" w:firstColumn="0" w:lastColumn="0" w:oddVBand="0" w:evenVBand="0" w:oddHBand="0" w:evenHBand="0" w:firstRowFirstColumn="0" w:firstRowLastColumn="0" w:lastRowFirstColumn="0" w:lastRowLastColumn="0"/>
            </w:pPr>
            <w:r>
              <w:t>$2,108</w:t>
            </w:r>
          </w:p>
        </w:tc>
      </w:tr>
      <w:tr w:rsidR="001F4FC0" w14:paraId="4288F4FE" w14:textId="77777777" w:rsidTr="00261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769035" w14:textId="1A3A8D1F" w:rsidR="001F4FC0" w:rsidRPr="001F4FC0" w:rsidRDefault="001F4FC0" w:rsidP="003267BB">
            <w:pPr>
              <w:autoSpaceDE w:val="0"/>
              <w:autoSpaceDN w:val="0"/>
              <w:adjustRightInd w:val="0"/>
              <w:spacing w:after="120"/>
              <w:jc w:val="both"/>
              <w:rPr>
                <w:b w:val="0"/>
                <w:bCs w:val="0"/>
              </w:rPr>
            </w:pPr>
            <w:r w:rsidRPr="001F4FC0">
              <w:rPr>
                <w:b w:val="0"/>
                <w:bCs w:val="0"/>
              </w:rPr>
              <w:t>I.T.</w:t>
            </w:r>
          </w:p>
        </w:tc>
        <w:tc>
          <w:tcPr>
            <w:tcW w:w="3155" w:type="dxa"/>
          </w:tcPr>
          <w:p w14:paraId="08871DA5" w14:textId="6C77CB5C" w:rsidR="001F4FC0" w:rsidRDefault="001F4FC0" w:rsidP="002613DC">
            <w:pPr>
              <w:autoSpaceDE w:val="0"/>
              <w:autoSpaceDN w:val="0"/>
              <w:adjustRightInd w:val="0"/>
              <w:spacing w:after="120"/>
              <w:jc w:val="right"/>
              <w:cnfStyle w:val="000000100000" w:firstRow="0" w:lastRow="0" w:firstColumn="0" w:lastColumn="0" w:oddVBand="0" w:evenVBand="0" w:oddHBand="1" w:evenHBand="0" w:firstRowFirstColumn="0" w:firstRowLastColumn="0" w:lastRowFirstColumn="0" w:lastRowLastColumn="0"/>
            </w:pPr>
            <w:r>
              <w:t>$114</w:t>
            </w:r>
          </w:p>
        </w:tc>
      </w:tr>
      <w:tr w:rsidR="001F4FC0" w14:paraId="78ACFEFE" w14:textId="77777777" w:rsidTr="002613DC">
        <w:tc>
          <w:tcPr>
            <w:cnfStyle w:val="001000000000" w:firstRow="0" w:lastRow="0" w:firstColumn="1" w:lastColumn="0" w:oddVBand="0" w:evenVBand="0" w:oddHBand="0" w:evenHBand="0" w:firstRowFirstColumn="0" w:firstRowLastColumn="0" w:lastRowFirstColumn="0" w:lastRowLastColumn="0"/>
            <w:tcW w:w="4675" w:type="dxa"/>
          </w:tcPr>
          <w:p w14:paraId="69D2B1DB" w14:textId="608C1088" w:rsidR="001F4FC0" w:rsidRPr="001F4FC0" w:rsidRDefault="001F4FC0" w:rsidP="003267BB">
            <w:pPr>
              <w:autoSpaceDE w:val="0"/>
              <w:autoSpaceDN w:val="0"/>
              <w:adjustRightInd w:val="0"/>
              <w:spacing w:after="120"/>
              <w:jc w:val="both"/>
              <w:rPr>
                <w:b w:val="0"/>
                <w:bCs w:val="0"/>
              </w:rPr>
            </w:pPr>
            <w:r w:rsidRPr="001F4FC0">
              <w:rPr>
                <w:b w:val="0"/>
                <w:bCs w:val="0"/>
              </w:rPr>
              <w:t>Zoning</w:t>
            </w:r>
          </w:p>
        </w:tc>
        <w:tc>
          <w:tcPr>
            <w:tcW w:w="3155" w:type="dxa"/>
          </w:tcPr>
          <w:p w14:paraId="52FE165E" w14:textId="524A97AC" w:rsidR="001F4FC0" w:rsidRDefault="001F4FC0" w:rsidP="002613DC">
            <w:pPr>
              <w:autoSpaceDE w:val="0"/>
              <w:autoSpaceDN w:val="0"/>
              <w:adjustRightInd w:val="0"/>
              <w:spacing w:after="120"/>
              <w:jc w:val="right"/>
              <w:cnfStyle w:val="000000000000" w:firstRow="0" w:lastRow="0" w:firstColumn="0" w:lastColumn="0" w:oddVBand="0" w:evenVBand="0" w:oddHBand="0" w:evenHBand="0" w:firstRowFirstColumn="0" w:firstRowLastColumn="0" w:lastRowFirstColumn="0" w:lastRowLastColumn="0"/>
            </w:pPr>
            <w:r>
              <w:t>$3,575</w:t>
            </w:r>
          </w:p>
        </w:tc>
      </w:tr>
      <w:tr w:rsidR="001F4FC0" w14:paraId="1BDA4331" w14:textId="77777777" w:rsidTr="00261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F56A5A5" w14:textId="7A6AD0E4" w:rsidR="001F4FC0" w:rsidRPr="001F4FC0" w:rsidRDefault="001F4FC0" w:rsidP="003267BB">
            <w:pPr>
              <w:autoSpaceDE w:val="0"/>
              <w:autoSpaceDN w:val="0"/>
              <w:adjustRightInd w:val="0"/>
              <w:spacing w:after="120"/>
              <w:jc w:val="both"/>
              <w:rPr>
                <w:b w:val="0"/>
                <w:bCs w:val="0"/>
              </w:rPr>
            </w:pPr>
            <w:r w:rsidRPr="001F4FC0">
              <w:rPr>
                <w:b w:val="0"/>
                <w:bCs w:val="0"/>
              </w:rPr>
              <w:t>Police</w:t>
            </w:r>
          </w:p>
        </w:tc>
        <w:tc>
          <w:tcPr>
            <w:tcW w:w="3155" w:type="dxa"/>
          </w:tcPr>
          <w:p w14:paraId="3A1D9497" w14:textId="0543B45C" w:rsidR="001F4FC0" w:rsidRDefault="001F4FC0" w:rsidP="002613DC">
            <w:pPr>
              <w:autoSpaceDE w:val="0"/>
              <w:autoSpaceDN w:val="0"/>
              <w:adjustRightInd w:val="0"/>
              <w:spacing w:after="120"/>
              <w:jc w:val="right"/>
              <w:cnfStyle w:val="000000100000" w:firstRow="0" w:lastRow="0" w:firstColumn="0" w:lastColumn="0" w:oddVBand="0" w:evenVBand="0" w:oddHBand="1" w:evenHBand="0" w:firstRowFirstColumn="0" w:firstRowLastColumn="0" w:lastRowFirstColumn="0" w:lastRowLastColumn="0"/>
            </w:pPr>
            <w:r>
              <w:t>$163,637</w:t>
            </w:r>
          </w:p>
        </w:tc>
      </w:tr>
      <w:tr w:rsidR="001F4FC0" w14:paraId="0CB4FAA8" w14:textId="77777777" w:rsidTr="002613DC">
        <w:tc>
          <w:tcPr>
            <w:cnfStyle w:val="001000000000" w:firstRow="0" w:lastRow="0" w:firstColumn="1" w:lastColumn="0" w:oddVBand="0" w:evenVBand="0" w:oddHBand="0" w:evenHBand="0" w:firstRowFirstColumn="0" w:firstRowLastColumn="0" w:lastRowFirstColumn="0" w:lastRowLastColumn="0"/>
            <w:tcW w:w="4675" w:type="dxa"/>
          </w:tcPr>
          <w:p w14:paraId="7F362D21" w14:textId="69B1CDD5" w:rsidR="001F4FC0" w:rsidRPr="001F4FC0" w:rsidRDefault="001F4FC0" w:rsidP="003267BB">
            <w:pPr>
              <w:autoSpaceDE w:val="0"/>
              <w:autoSpaceDN w:val="0"/>
              <w:adjustRightInd w:val="0"/>
              <w:spacing w:after="120"/>
              <w:jc w:val="both"/>
              <w:rPr>
                <w:b w:val="0"/>
                <w:bCs w:val="0"/>
              </w:rPr>
            </w:pPr>
            <w:r w:rsidRPr="001F4FC0">
              <w:rPr>
                <w:b w:val="0"/>
                <w:bCs w:val="0"/>
              </w:rPr>
              <w:t>Fire</w:t>
            </w:r>
          </w:p>
        </w:tc>
        <w:tc>
          <w:tcPr>
            <w:tcW w:w="3155" w:type="dxa"/>
          </w:tcPr>
          <w:p w14:paraId="5C6E40B3" w14:textId="5518DBF8" w:rsidR="001F4FC0" w:rsidRDefault="001F4FC0" w:rsidP="002613DC">
            <w:pPr>
              <w:autoSpaceDE w:val="0"/>
              <w:autoSpaceDN w:val="0"/>
              <w:adjustRightInd w:val="0"/>
              <w:spacing w:after="120"/>
              <w:jc w:val="right"/>
              <w:cnfStyle w:val="000000000000" w:firstRow="0" w:lastRow="0" w:firstColumn="0" w:lastColumn="0" w:oddVBand="0" w:evenVBand="0" w:oddHBand="0" w:evenHBand="0" w:firstRowFirstColumn="0" w:firstRowLastColumn="0" w:lastRowFirstColumn="0" w:lastRowLastColumn="0"/>
            </w:pPr>
            <w:r>
              <w:t>$39,932</w:t>
            </w:r>
          </w:p>
        </w:tc>
      </w:tr>
      <w:tr w:rsidR="001F4FC0" w14:paraId="317A5D2C" w14:textId="77777777" w:rsidTr="00261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02C3BCB" w14:textId="11A2E9CB" w:rsidR="001F4FC0" w:rsidRPr="001F4FC0" w:rsidRDefault="001F4FC0" w:rsidP="003267BB">
            <w:pPr>
              <w:autoSpaceDE w:val="0"/>
              <w:autoSpaceDN w:val="0"/>
              <w:adjustRightInd w:val="0"/>
              <w:spacing w:after="120"/>
              <w:jc w:val="both"/>
              <w:rPr>
                <w:b w:val="0"/>
                <w:bCs w:val="0"/>
              </w:rPr>
            </w:pPr>
            <w:r w:rsidRPr="001F4FC0">
              <w:rPr>
                <w:b w:val="0"/>
                <w:bCs w:val="0"/>
              </w:rPr>
              <w:t>PW Admin</w:t>
            </w:r>
          </w:p>
        </w:tc>
        <w:tc>
          <w:tcPr>
            <w:tcW w:w="3155" w:type="dxa"/>
          </w:tcPr>
          <w:p w14:paraId="3BFE9A83" w14:textId="3479C7D7" w:rsidR="001F4FC0" w:rsidRDefault="001F4FC0" w:rsidP="002613DC">
            <w:pPr>
              <w:autoSpaceDE w:val="0"/>
              <w:autoSpaceDN w:val="0"/>
              <w:adjustRightInd w:val="0"/>
              <w:spacing w:after="120"/>
              <w:jc w:val="right"/>
              <w:cnfStyle w:val="000000100000" w:firstRow="0" w:lastRow="0" w:firstColumn="0" w:lastColumn="0" w:oddVBand="0" w:evenVBand="0" w:oddHBand="1" w:evenHBand="0" w:firstRowFirstColumn="0" w:firstRowLastColumn="0" w:lastRowFirstColumn="0" w:lastRowLastColumn="0"/>
            </w:pPr>
            <w:r>
              <w:t>$3,056</w:t>
            </w:r>
          </w:p>
        </w:tc>
      </w:tr>
      <w:tr w:rsidR="001F4FC0" w14:paraId="6762CF66" w14:textId="77777777" w:rsidTr="002613DC">
        <w:tc>
          <w:tcPr>
            <w:cnfStyle w:val="001000000000" w:firstRow="0" w:lastRow="0" w:firstColumn="1" w:lastColumn="0" w:oddVBand="0" w:evenVBand="0" w:oddHBand="0" w:evenHBand="0" w:firstRowFirstColumn="0" w:firstRowLastColumn="0" w:lastRowFirstColumn="0" w:lastRowLastColumn="0"/>
            <w:tcW w:w="4675" w:type="dxa"/>
          </w:tcPr>
          <w:p w14:paraId="7BE4BDAD" w14:textId="29EB373A" w:rsidR="001F4FC0" w:rsidRPr="001F4FC0" w:rsidRDefault="001F4FC0" w:rsidP="003267BB">
            <w:pPr>
              <w:autoSpaceDE w:val="0"/>
              <w:autoSpaceDN w:val="0"/>
              <w:adjustRightInd w:val="0"/>
              <w:spacing w:after="120"/>
              <w:jc w:val="both"/>
              <w:rPr>
                <w:b w:val="0"/>
                <w:bCs w:val="0"/>
              </w:rPr>
            </w:pPr>
            <w:r w:rsidRPr="001F4FC0">
              <w:rPr>
                <w:b w:val="0"/>
                <w:bCs w:val="0"/>
              </w:rPr>
              <w:t>PW Parks</w:t>
            </w:r>
          </w:p>
        </w:tc>
        <w:tc>
          <w:tcPr>
            <w:tcW w:w="3155" w:type="dxa"/>
          </w:tcPr>
          <w:p w14:paraId="114D8E8F" w14:textId="3F64359A" w:rsidR="001F4FC0" w:rsidRDefault="001F4FC0" w:rsidP="002613DC">
            <w:pPr>
              <w:autoSpaceDE w:val="0"/>
              <w:autoSpaceDN w:val="0"/>
              <w:adjustRightInd w:val="0"/>
              <w:spacing w:after="120"/>
              <w:jc w:val="right"/>
              <w:cnfStyle w:val="000000000000" w:firstRow="0" w:lastRow="0" w:firstColumn="0" w:lastColumn="0" w:oddVBand="0" w:evenVBand="0" w:oddHBand="0" w:evenHBand="0" w:firstRowFirstColumn="0" w:firstRowLastColumn="0" w:lastRowFirstColumn="0" w:lastRowLastColumn="0"/>
            </w:pPr>
            <w:r>
              <w:t>$4,347</w:t>
            </w:r>
          </w:p>
        </w:tc>
      </w:tr>
      <w:tr w:rsidR="001F4FC0" w14:paraId="7AB4D31D" w14:textId="77777777" w:rsidTr="00261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D54D2B" w14:textId="64262CAD" w:rsidR="001F4FC0" w:rsidRPr="001F4FC0" w:rsidRDefault="001F4FC0" w:rsidP="003267BB">
            <w:pPr>
              <w:autoSpaceDE w:val="0"/>
              <w:autoSpaceDN w:val="0"/>
              <w:adjustRightInd w:val="0"/>
              <w:spacing w:after="120"/>
              <w:jc w:val="both"/>
              <w:rPr>
                <w:b w:val="0"/>
                <w:bCs w:val="0"/>
              </w:rPr>
            </w:pPr>
            <w:r w:rsidRPr="001F4FC0">
              <w:rPr>
                <w:b w:val="0"/>
                <w:bCs w:val="0"/>
              </w:rPr>
              <w:t>PW Streets</w:t>
            </w:r>
          </w:p>
        </w:tc>
        <w:tc>
          <w:tcPr>
            <w:tcW w:w="3155" w:type="dxa"/>
          </w:tcPr>
          <w:p w14:paraId="09FE454A" w14:textId="6D0C0AEC" w:rsidR="001F4FC0" w:rsidRDefault="001F4FC0" w:rsidP="002613DC">
            <w:pPr>
              <w:autoSpaceDE w:val="0"/>
              <w:autoSpaceDN w:val="0"/>
              <w:adjustRightInd w:val="0"/>
              <w:spacing w:after="120"/>
              <w:jc w:val="right"/>
              <w:cnfStyle w:val="000000100000" w:firstRow="0" w:lastRow="0" w:firstColumn="0" w:lastColumn="0" w:oddVBand="0" w:evenVBand="0" w:oddHBand="1" w:evenHBand="0" w:firstRowFirstColumn="0" w:firstRowLastColumn="0" w:lastRowFirstColumn="0" w:lastRowLastColumn="0"/>
            </w:pPr>
            <w:r>
              <w:t>$11,721</w:t>
            </w:r>
          </w:p>
        </w:tc>
      </w:tr>
      <w:tr w:rsidR="001F4FC0" w14:paraId="4689B552" w14:textId="77777777" w:rsidTr="002613DC">
        <w:tc>
          <w:tcPr>
            <w:cnfStyle w:val="001000000000" w:firstRow="0" w:lastRow="0" w:firstColumn="1" w:lastColumn="0" w:oddVBand="0" w:evenVBand="0" w:oddHBand="0" w:evenHBand="0" w:firstRowFirstColumn="0" w:firstRowLastColumn="0" w:lastRowFirstColumn="0" w:lastRowLastColumn="0"/>
            <w:tcW w:w="4675" w:type="dxa"/>
          </w:tcPr>
          <w:p w14:paraId="3CB65F64" w14:textId="7CB1C5C1" w:rsidR="001F4FC0" w:rsidRPr="001F4FC0" w:rsidRDefault="001F4FC0" w:rsidP="003267BB">
            <w:pPr>
              <w:autoSpaceDE w:val="0"/>
              <w:autoSpaceDN w:val="0"/>
              <w:adjustRightInd w:val="0"/>
              <w:spacing w:after="120"/>
              <w:jc w:val="both"/>
              <w:rPr>
                <w:b w:val="0"/>
                <w:bCs w:val="0"/>
              </w:rPr>
            </w:pPr>
            <w:r w:rsidRPr="001F4FC0">
              <w:rPr>
                <w:b w:val="0"/>
                <w:bCs w:val="0"/>
              </w:rPr>
              <w:t>PW Water</w:t>
            </w:r>
          </w:p>
        </w:tc>
        <w:tc>
          <w:tcPr>
            <w:tcW w:w="3155" w:type="dxa"/>
          </w:tcPr>
          <w:p w14:paraId="3B765AE4" w14:textId="43605888" w:rsidR="001F4FC0" w:rsidRDefault="001F4FC0" w:rsidP="002613DC">
            <w:pPr>
              <w:autoSpaceDE w:val="0"/>
              <w:autoSpaceDN w:val="0"/>
              <w:adjustRightInd w:val="0"/>
              <w:spacing w:after="120"/>
              <w:jc w:val="right"/>
              <w:cnfStyle w:val="000000000000" w:firstRow="0" w:lastRow="0" w:firstColumn="0" w:lastColumn="0" w:oddVBand="0" w:evenVBand="0" w:oddHBand="0" w:evenHBand="0" w:firstRowFirstColumn="0" w:firstRowLastColumn="0" w:lastRowFirstColumn="0" w:lastRowLastColumn="0"/>
            </w:pPr>
            <w:r>
              <w:t>$1,603</w:t>
            </w:r>
          </w:p>
        </w:tc>
      </w:tr>
      <w:tr w:rsidR="001F4FC0" w14:paraId="3D51DEDB" w14:textId="77777777" w:rsidTr="00261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2FEAA4" w14:textId="6A3FAB7D" w:rsidR="001F4FC0" w:rsidRPr="001F4FC0" w:rsidRDefault="001F4FC0" w:rsidP="003267BB">
            <w:pPr>
              <w:autoSpaceDE w:val="0"/>
              <w:autoSpaceDN w:val="0"/>
              <w:adjustRightInd w:val="0"/>
              <w:spacing w:after="120"/>
              <w:jc w:val="both"/>
              <w:rPr>
                <w:b w:val="0"/>
                <w:bCs w:val="0"/>
              </w:rPr>
            </w:pPr>
            <w:r w:rsidRPr="001F4FC0">
              <w:rPr>
                <w:b w:val="0"/>
                <w:bCs w:val="0"/>
              </w:rPr>
              <w:t>PW Sewer</w:t>
            </w:r>
          </w:p>
        </w:tc>
        <w:tc>
          <w:tcPr>
            <w:tcW w:w="3155" w:type="dxa"/>
          </w:tcPr>
          <w:p w14:paraId="41498A77" w14:textId="164C9C34" w:rsidR="001F4FC0" w:rsidRDefault="001F4FC0" w:rsidP="002613DC">
            <w:pPr>
              <w:autoSpaceDE w:val="0"/>
              <w:autoSpaceDN w:val="0"/>
              <w:adjustRightInd w:val="0"/>
              <w:spacing w:after="120"/>
              <w:jc w:val="right"/>
              <w:cnfStyle w:val="000000100000" w:firstRow="0" w:lastRow="0" w:firstColumn="0" w:lastColumn="0" w:oddVBand="0" w:evenVBand="0" w:oddHBand="1" w:evenHBand="0" w:firstRowFirstColumn="0" w:firstRowLastColumn="0" w:lastRowFirstColumn="0" w:lastRowLastColumn="0"/>
            </w:pPr>
            <w:r>
              <w:t>$16,762</w:t>
            </w:r>
          </w:p>
        </w:tc>
      </w:tr>
      <w:tr w:rsidR="001F4FC0" w14:paraId="4E0D9C12" w14:textId="77777777" w:rsidTr="002613DC">
        <w:tc>
          <w:tcPr>
            <w:cnfStyle w:val="001000000000" w:firstRow="0" w:lastRow="0" w:firstColumn="1" w:lastColumn="0" w:oddVBand="0" w:evenVBand="0" w:oddHBand="0" w:evenHBand="0" w:firstRowFirstColumn="0" w:firstRowLastColumn="0" w:lastRowFirstColumn="0" w:lastRowLastColumn="0"/>
            <w:tcW w:w="4675" w:type="dxa"/>
          </w:tcPr>
          <w:p w14:paraId="19FFB7D3" w14:textId="7E8EE748" w:rsidR="001F4FC0" w:rsidRPr="001F4FC0" w:rsidRDefault="001F4FC0" w:rsidP="003267BB">
            <w:pPr>
              <w:autoSpaceDE w:val="0"/>
              <w:autoSpaceDN w:val="0"/>
              <w:adjustRightInd w:val="0"/>
              <w:spacing w:after="120"/>
              <w:jc w:val="both"/>
              <w:rPr>
                <w:b w:val="0"/>
                <w:bCs w:val="0"/>
              </w:rPr>
            </w:pPr>
            <w:r w:rsidRPr="001F4FC0">
              <w:rPr>
                <w:b w:val="0"/>
                <w:bCs w:val="0"/>
              </w:rPr>
              <w:t>Building</w:t>
            </w:r>
          </w:p>
        </w:tc>
        <w:tc>
          <w:tcPr>
            <w:tcW w:w="3155" w:type="dxa"/>
          </w:tcPr>
          <w:p w14:paraId="023BE004" w14:textId="2DE9F0B3" w:rsidR="001F4FC0" w:rsidRDefault="001F4FC0" w:rsidP="002613DC">
            <w:pPr>
              <w:autoSpaceDE w:val="0"/>
              <w:autoSpaceDN w:val="0"/>
              <w:adjustRightInd w:val="0"/>
              <w:spacing w:after="120"/>
              <w:jc w:val="right"/>
              <w:cnfStyle w:val="000000000000" w:firstRow="0" w:lastRow="0" w:firstColumn="0" w:lastColumn="0" w:oddVBand="0" w:evenVBand="0" w:oddHBand="0" w:evenHBand="0" w:firstRowFirstColumn="0" w:firstRowLastColumn="0" w:lastRowFirstColumn="0" w:lastRowLastColumn="0"/>
            </w:pPr>
            <w:r>
              <w:t>$8,722</w:t>
            </w:r>
          </w:p>
        </w:tc>
      </w:tr>
      <w:tr w:rsidR="001F4FC0" w14:paraId="3991C180" w14:textId="77777777" w:rsidTr="00261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BBF35AB" w14:textId="652CC380" w:rsidR="001F4FC0" w:rsidRPr="001F4FC0" w:rsidRDefault="001F4FC0" w:rsidP="003267BB">
            <w:pPr>
              <w:autoSpaceDE w:val="0"/>
              <w:autoSpaceDN w:val="0"/>
              <w:adjustRightInd w:val="0"/>
              <w:spacing w:after="120"/>
              <w:jc w:val="both"/>
            </w:pPr>
            <w:r w:rsidRPr="001F4FC0">
              <w:t>TOTAL</w:t>
            </w:r>
          </w:p>
        </w:tc>
        <w:tc>
          <w:tcPr>
            <w:tcW w:w="3155" w:type="dxa"/>
          </w:tcPr>
          <w:p w14:paraId="617AA827" w14:textId="542F0459" w:rsidR="001F4FC0" w:rsidRPr="001F4FC0" w:rsidRDefault="001F4FC0" w:rsidP="002613DC">
            <w:pPr>
              <w:autoSpaceDE w:val="0"/>
              <w:autoSpaceDN w:val="0"/>
              <w:adjustRightInd w:val="0"/>
              <w:spacing w:after="120"/>
              <w:jc w:val="right"/>
              <w:cnfStyle w:val="000000100000" w:firstRow="0" w:lastRow="0" w:firstColumn="0" w:lastColumn="0" w:oddVBand="0" w:evenVBand="0" w:oddHBand="1" w:evenHBand="0" w:firstRowFirstColumn="0" w:firstRowLastColumn="0" w:lastRowFirstColumn="0" w:lastRowLastColumn="0"/>
              <w:rPr>
                <w:b/>
                <w:bCs/>
              </w:rPr>
            </w:pPr>
            <w:r w:rsidRPr="001F4FC0">
              <w:rPr>
                <w:b/>
                <w:bCs/>
              </w:rPr>
              <w:t>$266,453</w:t>
            </w:r>
          </w:p>
        </w:tc>
      </w:tr>
    </w:tbl>
    <w:p w14:paraId="0BB6AFE9" w14:textId="77777777" w:rsidR="00E51FAB" w:rsidRDefault="00E51FAB" w:rsidP="003267BB">
      <w:pPr>
        <w:autoSpaceDE w:val="0"/>
        <w:autoSpaceDN w:val="0"/>
        <w:adjustRightInd w:val="0"/>
        <w:spacing w:after="120"/>
        <w:jc w:val="both"/>
      </w:pPr>
    </w:p>
    <w:p w14:paraId="0F5E4011" w14:textId="216413F8" w:rsidR="004D3ED6" w:rsidRDefault="00E51FAB" w:rsidP="003267BB">
      <w:pPr>
        <w:autoSpaceDE w:val="0"/>
        <w:autoSpaceDN w:val="0"/>
        <w:adjustRightInd w:val="0"/>
        <w:spacing w:after="120"/>
        <w:jc w:val="both"/>
      </w:pPr>
      <w:r>
        <w:t>This caused overages in the following departments</w:t>
      </w:r>
      <w:r w:rsidR="004D3ED6">
        <w:t xml:space="preserve"> which exceed the Town Manager’s limited authority of $25,012</w:t>
      </w:r>
      <w:r>
        <w:t>:</w:t>
      </w:r>
    </w:p>
    <w:p w14:paraId="61ED02A0" w14:textId="38C14B5E" w:rsidR="004D3ED6" w:rsidRDefault="004D3ED6" w:rsidP="002C74C4">
      <w:pPr>
        <w:pStyle w:val="ListParagraph"/>
        <w:numPr>
          <w:ilvl w:val="0"/>
          <w:numId w:val="10"/>
        </w:numPr>
        <w:autoSpaceDE w:val="0"/>
        <w:autoSpaceDN w:val="0"/>
        <w:adjustRightInd w:val="0"/>
        <w:spacing w:after="120"/>
        <w:jc w:val="both"/>
      </w:pPr>
      <w:r>
        <w:t>Police</w:t>
      </w:r>
      <w:r w:rsidR="001D7FF5">
        <w:tab/>
      </w:r>
      <w:r>
        <w:t>$145,734</w:t>
      </w:r>
    </w:p>
    <w:p w14:paraId="5972346F" w14:textId="297395CC" w:rsidR="004C3D3F" w:rsidRDefault="004D3ED6" w:rsidP="002C74C4">
      <w:pPr>
        <w:pStyle w:val="ListParagraph"/>
        <w:numPr>
          <w:ilvl w:val="0"/>
          <w:numId w:val="10"/>
        </w:numPr>
        <w:autoSpaceDE w:val="0"/>
        <w:autoSpaceDN w:val="0"/>
        <w:adjustRightInd w:val="0"/>
        <w:spacing w:after="120"/>
        <w:jc w:val="both"/>
      </w:pPr>
      <w:r>
        <w:t>Fire</w:t>
      </w:r>
      <w:proofErr w:type="gramStart"/>
      <w:r>
        <w:tab/>
      </w:r>
      <w:r w:rsidR="001D7FF5">
        <w:t xml:space="preserve">  </w:t>
      </w:r>
      <w:r>
        <w:t>$</w:t>
      </w:r>
      <w:proofErr w:type="gramEnd"/>
      <w:r>
        <w:t>54,367</w:t>
      </w:r>
    </w:p>
    <w:p w14:paraId="530B526E" w14:textId="77777777" w:rsidR="004C3D3F" w:rsidRPr="00B35DF8" w:rsidRDefault="004C3D3F" w:rsidP="001B7776">
      <w:pPr>
        <w:spacing w:after="120"/>
        <w:jc w:val="both"/>
      </w:pPr>
      <w:r w:rsidRPr="00B35DF8">
        <w:t>The legal level of budgetary control (</w:t>
      </w:r>
      <w:proofErr w:type="gramStart"/>
      <w:r w:rsidRPr="00B35DF8">
        <w:t>i.e.</w:t>
      </w:r>
      <w:proofErr w:type="gramEnd"/>
      <w:r w:rsidRPr="00B35DF8">
        <w:t xml:space="preserve"> the level at which expenditures may not legally exceed the appropriations), per Town Charter is at the department level. This means that departments may go over or under budget on individual line items, but they are not allowed to exceed the expenditures appropriated for their department budget in total.</w:t>
      </w:r>
    </w:p>
    <w:p w14:paraId="746617B4" w14:textId="77777777" w:rsidR="004C3D3F" w:rsidRPr="00B35DF8" w:rsidRDefault="004C3D3F" w:rsidP="001B7776">
      <w:pPr>
        <w:spacing w:after="120"/>
        <w:jc w:val="both"/>
      </w:pPr>
      <w:r w:rsidRPr="00B35DF8">
        <w:lastRenderedPageBreak/>
        <w:t xml:space="preserve">For transfers between departments or programs, Article V, Section 9 (d), of the Town Charter, states that the Town Manager may transfer up to $25,012 ($20,000.00 adjusted for CPI US City Average measured each year on September 30) between line items within or between departments or among programs. Transfers greater than $25,012 and amendments which change the original budget in total, or amendments requiring the use of unappropriated fund balance, require Town Commission approval. </w:t>
      </w:r>
    </w:p>
    <w:p w14:paraId="0BA85B1D" w14:textId="77777777" w:rsidR="004C3D3F" w:rsidRPr="00B35DF8" w:rsidRDefault="004C3D3F" w:rsidP="001B7776">
      <w:pPr>
        <w:spacing w:after="120"/>
        <w:jc w:val="both"/>
      </w:pPr>
      <w:r w:rsidRPr="00B35DF8">
        <w:t xml:space="preserve">The occurrences which cause an overage in the departmental line items are communicated on a regular basis to the Town Manager by Department Heads and Finance staff. In some circumstances, the Town waits until the close of the year end to finalize the process. </w:t>
      </w:r>
    </w:p>
    <w:p w14:paraId="54BC31CA" w14:textId="77777777" w:rsidR="004C3D3F" w:rsidRPr="00B35DF8" w:rsidRDefault="004C3D3F" w:rsidP="0006741C">
      <w:pPr>
        <w:pStyle w:val="BodyText"/>
        <w:spacing w:after="240"/>
      </w:pPr>
      <w:r w:rsidRPr="00B35DF8">
        <w:t>Based on the criteria above, the following budget amendments are being proposed: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870"/>
        <w:gridCol w:w="1790"/>
      </w:tblGrid>
      <w:tr w:rsidR="002F756B" w:rsidRPr="00EC0E8B" w14:paraId="06CB3C1F" w14:textId="77777777" w:rsidTr="006837D5">
        <w:tc>
          <w:tcPr>
            <w:tcW w:w="3690" w:type="dxa"/>
            <w:vAlign w:val="center"/>
          </w:tcPr>
          <w:p w14:paraId="1583556D" w14:textId="281C85F6" w:rsidR="002F756B" w:rsidRPr="00EC0E8B" w:rsidRDefault="002F756B" w:rsidP="002A75AA">
            <w:pPr>
              <w:rPr>
                <w:rFonts w:cs="Arial"/>
                <w:b/>
                <w:szCs w:val="24"/>
              </w:rPr>
            </w:pPr>
            <w:bookmarkStart w:id="2" w:name="_Hlk181010874"/>
            <w:bookmarkEnd w:id="1"/>
            <w:r w:rsidRPr="00EC0E8B">
              <w:rPr>
                <w:rFonts w:cs="Arial"/>
                <w:b/>
                <w:szCs w:val="24"/>
              </w:rPr>
              <w:t>Account number</w:t>
            </w:r>
          </w:p>
        </w:tc>
        <w:tc>
          <w:tcPr>
            <w:tcW w:w="3870" w:type="dxa"/>
            <w:vAlign w:val="center"/>
          </w:tcPr>
          <w:p w14:paraId="6A7105F2" w14:textId="77777777" w:rsidR="002F756B" w:rsidRPr="00EC0E8B" w:rsidRDefault="002F756B" w:rsidP="002A75AA">
            <w:pPr>
              <w:rPr>
                <w:rFonts w:cs="Arial"/>
                <w:b/>
                <w:szCs w:val="24"/>
              </w:rPr>
            </w:pPr>
            <w:r w:rsidRPr="00EC0E8B">
              <w:rPr>
                <w:rFonts w:cs="Arial"/>
                <w:b/>
                <w:szCs w:val="24"/>
              </w:rPr>
              <w:t>Account Description</w:t>
            </w:r>
          </w:p>
        </w:tc>
        <w:tc>
          <w:tcPr>
            <w:tcW w:w="1790" w:type="dxa"/>
            <w:vAlign w:val="center"/>
          </w:tcPr>
          <w:p w14:paraId="0CFDFC78" w14:textId="77777777" w:rsidR="002F756B" w:rsidRPr="00EC0E8B" w:rsidRDefault="002F756B" w:rsidP="002A75AA">
            <w:pPr>
              <w:jc w:val="right"/>
              <w:rPr>
                <w:rFonts w:cs="Arial"/>
                <w:b/>
                <w:szCs w:val="24"/>
              </w:rPr>
            </w:pPr>
            <w:r w:rsidRPr="00EC0E8B">
              <w:rPr>
                <w:rFonts w:cs="Arial"/>
                <w:b/>
                <w:szCs w:val="24"/>
              </w:rPr>
              <w:t>Increase (Decrease)</w:t>
            </w:r>
          </w:p>
        </w:tc>
      </w:tr>
      <w:tr w:rsidR="002F756B" w:rsidRPr="00EC0E8B" w14:paraId="690F8D8F" w14:textId="77777777" w:rsidTr="006837D5">
        <w:tc>
          <w:tcPr>
            <w:tcW w:w="3690" w:type="dxa"/>
          </w:tcPr>
          <w:p w14:paraId="3DCE3167" w14:textId="7F1CDAB1" w:rsidR="002F756B" w:rsidRPr="00EC0E8B" w:rsidRDefault="002C74C4" w:rsidP="002A75AA">
            <w:pPr>
              <w:rPr>
                <w:rFonts w:cs="Arial"/>
                <w:sz w:val="22"/>
              </w:rPr>
            </w:pPr>
            <w:r>
              <w:rPr>
                <w:rFonts w:cs="Arial"/>
                <w:sz w:val="22"/>
              </w:rPr>
              <w:t>001-20-19-514.1402</w:t>
            </w:r>
          </w:p>
        </w:tc>
        <w:tc>
          <w:tcPr>
            <w:tcW w:w="3870" w:type="dxa"/>
          </w:tcPr>
          <w:p w14:paraId="2A4A027A" w14:textId="55DB080D" w:rsidR="002F756B" w:rsidRPr="00EC0E8B" w:rsidRDefault="002C74C4" w:rsidP="002A75AA">
            <w:pPr>
              <w:rPr>
                <w:rFonts w:cs="Arial"/>
                <w:sz w:val="22"/>
              </w:rPr>
            </w:pPr>
            <w:r>
              <w:rPr>
                <w:rFonts w:cs="Arial"/>
                <w:sz w:val="22"/>
              </w:rPr>
              <w:t>Police - Overtime</w:t>
            </w:r>
          </w:p>
        </w:tc>
        <w:tc>
          <w:tcPr>
            <w:tcW w:w="1790" w:type="dxa"/>
          </w:tcPr>
          <w:p w14:paraId="744DD5CA" w14:textId="1D23B814" w:rsidR="002F756B" w:rsidRPr="00EC0E8B" w:rsidRDefault="00EA57FD" w:rsidP="002A75AA">
            <w:pPr>
              <w:jc w:val="right"/>
              <w:rPr>
                <w:rFonts w:cs="Arial"/>
                <w:sz w:val="22"/>
              </w:rPr>
            </w:pPr>
            <w:r w:rsidRPr="00EC0E8B">
              <w:rPr>
                <w:rFonts w:cs="Arial"/>
                <w:sz w:val="22"/>
              </w:rPr>
              <w:t>$</w:t>
            </w:r>
            <w:r w:rsidR="002C74C4">
              <w:rPr>
                <w:rFonts w:cs="Arial"/>
                <w:sz w:val="22"/>
              </w:rPr>
              <w:t>145,734</w:t>
            </w:r>
          </w:p>
        </w:tc>
      </w:tr>
      <w:tr w:rsidR="00EC0E8B" w:rsidRPr="00EC0E8B" w14:paraId="5251B101" w14:textId="77777777" w:rsidTr="006837D5">
        <w:tc>
          <w:tcPr>
            <w:tcW w:w="3690" w:type="dxa"/>
          </w:tcPr>
          <w:p w14:paraId="26558796" w14:textId="7AA45240" w:rsidR="00EC0E8B" w:rsidRPr="00EC0E8B" w:rsidRDefault="002C74C4" w:rsidP="002A75AA">
            <w:pPr>
              <w:rPr>
                <w:rFonts w:cs="Arial"/>
                <w:sz w:val="22"/>
              </w:rPr>
            </w:pPr>
            <w:r>
              <w:rPr>
                <w:rFonts w:cs="Arial"/>
                <w:sz w:val="22"/>
              </w:rPr>
              <w:t>001-20-20-514.1402</w:t>
            </w:r>
          </w:p>
        </w:tc>
        <w:tc>
          <w:tcPr>
            <w:tcW w:w="3870" w:type="dxa"/>
          </w:tcPr>
          <w:p w14:paraId="3A3F45B5" w14:textId="0AB22C02" w:rsidR="00EC0E8B" w:rsidRPr="00EC0E8B" w:rsidRDefault="002C74C4" w:rsidP="002A75AA">
            <w:pPr>
              <w:rPr>
                <w:rFonts w:cs="Arial"/>
                <w:sz w:val="22"/>
              </w:rPr>
            </w:pPr>
            <w:r>
              <w:rPr>
                <w:rFonts w:cs="Arial"/>
                <w:sz w:val="22"/>
              </w:rPr>
              <w:t>Fire- Overtime</w:t>
            </w:r>
          </w:p>
        </w:tc>
        <w:tc>
          <w:tcPr>
            <w:tcW w:w="1790" w:type="dxa"/>
          </w:tcPr>
          <w:p w14:paraId="2861FDC8" w14:textId="078CAE4F" w:rsidR="00EC0E8B" w:rsidRPr="00EC0E8B" w:rsidRDefault="00EC0E8B" w:rsidP="002A75AA">
            <w:pPr>
              <w:jc w:val="right"/>
              <w:rPr>
                <w:rFonts w:cs="Arial"/>
                <w:sz w:val="22"/>
              </w:rPr>
            </w:pPr>
            <w:r w:rsidRPr="00EC0E8B">
              <w:rPr>
                <w:rFonts w:cs="Arial"/>
                <w:sz w:val="22"/>
              </w:rPr>
              <w:t>$</w:t>
            </w:r>
            <w:r w:rsidR="002C74C4">
              <w:rPr>
                <w:rFonts w:cs="Arial"/>
                <w:sz w:val="22"/>
              </w:rPr>
              <w:t>54,367</w:t>
            </w:r>
          </w:p>
        </w:tc>
      </w:tr>
      <w:tr w:rsidR="00EC0E8B" w:rsidRPr="00EC0E8B" w14:paraId="228BAAC0" w14:textId="77777777" w:rsidTr="006837D5">
        <w:tc>
          <w:tcPr>
            <w:tcW w:w="3690" w:type="dxa"/>
          </w:tcPr>
          <w:p w14:paraId="31C09731" w14:textId="766AD225" w:rsidR="00EC0E8B" w:rsidRPr="00EC0E8B" w:rsidRDefault="002C74C4" w:rsidP="002A75AA">
            <w:pPr>
              <w:rPr>
                <w:rFonts w:cs="Arial"/>
                <w:sz w:val="22"/>
              </w:rPr>
            </w:pPr>
            <w:r>
              <w:rPr>
                <w:rFonts w:cs="Arial"/>
                <w:sz w:val="22"/>
              </w:rPr>
              <w:t>001-10-31-599.9901</w:t>
            </w:r>
          </w:p>
        </w:tc>
        <w:tc>
          <w:tcPr>
            <w:tcW w:w="3870" w:type="dxa"/>
          </w:tcPr>
          <w:p w14:paraId="447507C5" w14:textId="274386BE" w:rsidR="00EC0E8B" w:rsidRPr="00EC0E8B" w:rsidRDefault="002C74C4" w:rsidP="002A75AA">
            <w:pPr>
              <w:rPr>
                <w:rFonts w:cs="Arial"/>
                <w:sz w:val="22"/>
              </w:rPr>
            </w:pPr>
            <w:r>
              <w:rPr>
                <w:rFonts w:cs="Arial"/>
                <w:sz w:val="22"/>
              </w:rPr>
              <w:t>Contingency</w:t>
            </w:r>
          </w:p>
        </w:tc>
        <w:tc>
          <w:tcPr>
            <w:tcW w:w="1790" w:type="dxa"/>
          </w:tcPr>
          <w:p w14:paraId="58B7E9A8" w14:textId="56F49026" w:rsidR="00EC0E8B" w:rsidRPr="00EC0E8B" w:rsidRDefault="002C74C4" w:rsidP="002A75AA">
            <w:pPr>
              <w:jc w:val="right"/>
              <w:rPr>
                <w:rFonts w:cs="Arial"/>
                <w:sz w:val="22"/>
              </w:rPr>
            </w:pPr>
            <w:r>
              <w:rPr>
                <w:rFonts w:cs="Arial"/>
                <w:sz w:val="22"/>
              </w:rPr>
              <w:t>(</w:t>
            </w:r>
            <w:r w:rsidR="00EC0E8B">
              <w:rPr>
                <w:rFonts w:cs="Arial"/>
                <w:sz w:val="22"/>
              </w:rPr>
              <w:t>$</w:t>
            </w:r>
            <w:r>
              <w:rPr>
                <w:rFonts w:cs="Arial"/>
                <w:sz w:val="22"/>
              </w:rPr>
              <w:t>200,101)</w:t>
            </w:r>
          </w:p>
        </w:tc>
      </w:tr>
    </w:tbl>
    <w:bookmarkEnd w:id="2"/>
    <w:p w14:paraId="5DBCF818" w14:textId="1D35F274" w:rsidR="00594D56" w:rsidRPr="00FA6D10" w:rsidRDefault="00594D56" w:rsidP="001B7776">
      <w:pPr>
        <w:pStyle w:val="BodyText"/>
        <w:spacing w:before="120" w:after="120" w:line="259" w:lineRule="auto"/>
        <w:jc w:val="both"/>
        <w:rPr>
          <w:b/>
        </w:rPr>
      </w:pPr>
      <w:r w:rsidRPr="00FA6D10">
        <w:t>As of the date of this report there were no other Funds or Departments requiring amendments, however, the Finance Department continues to process invoices</w:t>
      </w:r>
      <w:r w:rsidR="00393DB8" w:rsidRPr="00FA6D10">
        <w:t xml:space="preserve"> and make accruals for the audit. A</w:t>
      </w:r>
      <w:r w:rsidRPr="00FA6D10">
        <w:t xml:space="preserve">dditional </w:t>
      </w:r>
      <w:r w:rsidR="00393DB8" w:rsidRPr="00FA6D10">
        <w:t>amendments</w:t>
      </w:r>
      <w:r w:rsidRPr="00FA6D10">
        <w:t xml:space="preserve"> may be required as a result of the year-end audit adjustments.</w:t>
      </w:r>
    </w:p>
    <w:p w14:paraId="3C504707" w14:textId="77777777" w:rsidR="004C3D3F" w:rsidRDefault="004C3D3F" w:rsidP="003267BB">
      <w:pPr>
        <w:pStyle w:val="Heading2"/>
        <w:spacing w:before="240"/>
      </w:pPr>
    </w:p>
    <w:p w14:paraId="479ACC7F" w14:textId="246B1D50" w:rsidR="002769A1" w:rsidRPr="00FA6D10" w:rsidRDefault="00A21C4C" w:rsidP="003267BB">
      <w:pPr>
        <w:pStyle w:val="Heading2"/>
        <w:spacing w:before="240"/>
      </w:pPr>
      <w:r w:rsidRPr="00FA6D10">
        <w:t xml:space="preserve">Staff </w:t>
      </w:r>
      <w:r w:rsidR="00623909" w:rsidRPr="00FA6D10">
        <w:t>Recommendation</w:t>
      </w:r>
    </w:p>
    <w:p w14:paraId="6EA0BF19" w14:textId="481B7614" w:rsidR="00A1730F" w:rsidRPr="00FA6D10" w:rsidRDefault="003267BB" w:rsidP="00A1730F">
      <w:pPr>
        <w:spacing w:after="120"/>
        <w:rPr>
          <w:rFonts w:cs="Arial"/>
          <w:szCs w:val="24"/>
        </w:rPr>
      </w:pPr>
      <w:r w:rsidRPr="00FA6D10">
        <w:rPr>
          <w:rFonts w:cs="Arial"/>
          <w:szCs w:val="24"/>
        </w:rPr>
        <w:t>Following</w:t>
      </w:r>
      <w:r w:rsidR="00A1730F" w:rsidRPr="00FA6D10">
        <w:rPr>
          <w:rFonts w:cs="Arial"/>
          <w:szCs w:val="24"/>
        </w:rPr>
        <w:t xml:space="preserve"> public hearing, pass Resolution </w:t>
      </w:r>
      <w:r w:rsidR="00FA6D10">
        <w:rPr>
          <w:rFonts w:cs="Arial"/>
          <w:szCs w:val="24"/>
        </w:rPr>
        <w:t>2024-</w:t>
      </w:r>
      <w:r w:rsidR="00E51FAB">
        <w:rPr>
          <w:rFonts w:cs="Arial"/>
          <w:szCs w:val="24"/>
        </w:rPr>
        <w:t>2</w:t>
      </w:r>
      <w:r w:rsidR="00304278">
        <w:rPr>
          <w:rFonts w:cs="Arial"/>
          <w:szCs w:val="24"/>
        </w:rPr>
        <w:t>7</w:t>
      </w:r>
      <w:r w:rsidR="00FA6D10">
        <w:rPr>
          <w:rFonts w:cs="Arial"/>
          <w:szCs w:val="24"/>
        </w:rPr>
        <w:t>.</w:t>
      </w:r>
    </w:p>
    <w:p w14:paraId="091128C2" w14:textId="3B022B7C" w:rsidR="00B55016" w:rsidRPr="00FA6D10" w:rsidRDefault="00132906" w:rsidP="003267BB">
      <w:pPr>
        <w:pStyle w:val="Heading2"/>
        <w:spacing w:before="0" w:after="0"/>
      </w:pPr>
      <w:r w:rsidRPr="00FA6D10">
        <w:t>Attachments</w:t>
      </w:r>
    </w:p>
    <w:p w14:paraId="5D4B1839" w14:textId="37B6587B" w:rsidR="008A519B" w:rsidRPr="00FA6D10" w:rsidRDefault="008A519B" w:rsidP="008A519B">
      <w:r w:rsidRPr="00FA6D10">
        <w:t xml:space="preserve">Resolution </w:t>
      </w:r>
      <w:r w:rsidR="00FA6D10">
        <w:t>2024-</w:t>
      </w:r>
      <w:r w:rsidR="00E51FAB">
        <w:t>2</w:t>
      </w:r>
      <w:r w:rsidR="00304278">
        <w:t>7</w:t>
      </w:r>
      <w:r w:rsidR="00FA6D10">
        <w:t>.</w:t>
      </w:r>
    </w:p>
    <w:p w14:paraId="664283D7" w14:textId="77777777" w:rsidR="00087F51" w:rsidRPr="00FA6D10" w:rsidRDefault="00087F51" w:rsidP="003267BB">
      <w:pPr>
        <w:spacing w:after="0"/>
        <w:sectPr w:rsidR="00087F51" w:rsidRPr="00FA6D10" w:rsidSect="00A81DA9">
          <w:footnotePr>
            <w:numRestart w:val="eachPage"/>
          </w:footnotePr>
          <w:pgSz w:w="12240" w:h="15840"/>
          <w:pgMar w:top="806" w:right="1260" w:bottom="864" w:left="1620" w:header="720" w:footer="432" w:gutter="0"/>
          <w:cols w:space="720"/>
          <w:titlePg/>
          <w:docGrid w:linePitch="326"/>
        </w:sectPr>
      </w:pPr>
    </w:p>
    <w:p w14:paraId="732D9292" w14:textId="77777777" w:rsidR="00E05490" w:rsidRPr="00E54DB8" w:rsidRDefault="00E05490" w:rsidP="00E05490">
      <w:pPr>
        <w:tabs>
          <w:tab w:val="left" w:pos="450"/>
          <w:tab w:val="left" w:pos="720"/>
        </w:tabs>
        <w:spacing w:after="120"/>
        <w:ind w:right="864" w:firstLine="1440"/>
        <w:jc w:val="center"/>
        <w:rPr>
          <w:b/>
        </w:rPr>
      </w:pPr>
      <w:bookmarkStart w:id="3" w:name="_Hlk30168792"/>
      <w:bookmarkStart w:id="4" w:name="_Hlk50735755"/>
      <w:r w:rsidRPr="00E54DB8">
        <w:rPr>
          <w:b/>
        </w:rPr>
        <w:lastRenderedPageBreak/>
        <w:t>RESOLUTION 2024-</w:t>
      </w:r>
      <w:r>
        <w:rPr>
          <w:b/>
        </w:rPr>
        <w:t>27</w:t>
      </w:r>
    </w:p>
    <w:p w14:paraId="365CDA75" w14:textId="77777777" w:rsidR="00E05490" w:rsidRPr="00E54DB8" w:rsidRDefault="00E05490" w:rsidP="00E05490">
      <w:pPr>
        <w:spacing w:after="240"/>
        <w:ind w:left="1440" w:right="864"/>
        <w:jc w:val="both"/>
        <w:rPr>
          <w:b/>
        </w:rPr>
      </w:pPr>
      <w:r w:rsidRPr="00E54DB8">
        <w:rPr>
          <w:b/>
        </w:rPr>
        <w:t xml:space="preserve">A RESOLUTION OF THE TOWN OF LONGBOAT KEY, FLORIDA, AMENDING THE FISCAL YEAR ADOPTED BUDGET BEGINNING OCTOBER 1, 2023, AND ENDING SEPTEMBER 30, 2024; TRANSFERRING FUNDS FROM REVENUES, OTHER FINANCING SOURCES OR OTHER EXPENDITURE LINES TO COVER OVERAGES IN OPERATING DEPARTMENT EXPENDITURES </w:t>
      </w:r>
      <w:r>
        <w:rPr>
          <w:b/>
        </w:rPr>
        <w:t xml:space="preserve">ASSOCIATED WITH HURRICANE HELENE </w:t>
      </w:r>
      <w:r w:rsidRPr="00E54DB8">
        <w:rPr>
          <w:b/>
        </w:rPr>
        <w:t>WITHIN ADOPTED FUND BUDGETS, PROVIDING FOR SEVERABILITY; PROVIDING FOR AN EFFECTIVE -DATE.</w:t>
      </w:r>
      <w:bookmarkEnd w:id="3"/>
    </w:p>
    <w:bookmarkEnd w:id="4"/>
    <w:p w14:paraId="2335983E" w14:textId="77777777" w:rsidR="00E05490" w:rsidRPr="004D13D5" w:rsidRDefault="00E05490" w:rsidP="00E05490">
      <w:pPr>
        <w:spacing w:after="120"/>
        <w:ind w:firstLine="720"/>
        <w:jc w:val="both"/>
      </w:pPr>
      <w:r w:rsidRPr="004D13D5">
        <w:rPr>
          <w:b/>
        </w:rPr>
        <w:t>WHEREAS,</w:t>
      </w:r>
      <w:r w:rsidRPr="004D13D5">
        <w:t xml:space="preserve"> throughout the fiscal year individual department expenditure accounts may go over budget requiring a budget transfer to be made; and</w:t>
      </w:r>
    </w:p>
    <w:p w14:paraId="5A1E3EEA" w14:textId="77777777" w:rsidR="00E05490" w:rsidRPr="004D13D5" w:rsidRDefault="00E05490" w:rsidP="00E05490">
      <w:pPr>
        <w:spacing w:after="120"/>
        <w:ind w:firstLine="720"/>
        <w:jc w:val="both"/>
      </w:pPr>
      <w:r w:rsidRPr="004D13D5">
        <w:rPr>
          <w:b/>
        </w:rPr>
        <w:t>WHEREAS,</w:t>
      </w:r>
      <w:r w:rsidRPr="004D13D5">
        <w:t xml:space="preserve"> the legal level of budgetary control (i.e., the level at which expenditures may not legally exceed the appropriations), pursuant to Town Charter is at the Department level; and,</w:t>
      </w:r>
    </w:p>
    <w:p w14:paraId="55608048" w14:textId="77777777" w:rsidR="00E05490" w:rsidRPr="004D13D5" w:rsidRDefault="00E05490" w:rsidP="00E05490">
      <w:pPr>
        <w:spacing w:after="120"/>
        <w:ind w:firstLine="720"/>
        <w:jc w:val="both"/>
      </w:pPr>
      <w:r w:rsidRPr="004D13D5">
        <w:rPr>
          <w:b/>
        </w:rPr>
        <w:t>WHEREAS,</w:t>
      </w:r>
      <w:r w:rsidRPr="004D13D5">
        <w:t xml:space="preserve"> the Town Manager has the authority to transfer appropriations up to $</w:t>
      </w:r>
      <w:r>
        <w:t>25,012</w:t>
      </w:r>
      <w:r w:rsidRPr="004D13D5">
        <w:t xml:space="preserve"> between or within departments within the same fund; and,</w:t>
      </w:r>
    </w:p>
    <w:p w14:paraId="72262BDC" w14:textId="36140353" w:rsidR="00E05490" w:rsidRPr="004D13D5" w:rsidRDefault="00E05490" w:rsidP="00E05490">
      <w:pPr>
        <w:spacing w:after="120"/>
        <w:ind w:firstLine="720"/>
        <w:jc w:val="both"/>
      </w:pPr>
      <w:r w:rsidRPr="004D13D5">
        <w:rPr>
          <w:b/>
        </w:rPr>
        <w:t>WHEREAS,</w:t>
      </w:r>
      <w:r w:rsidRPr="004D13D5">
        <w:t xml:space="preserve"> </w:t>
      </w:r>
      <w:bookmarkStart w:id="5" w:name="_Hlk78898441"/>
      <w:r w:rsidRPr="004D13D5">
        <w:t xml:space="preserve">in </w:t>
      </w:r>
      <w:r>
        <w:t xml:space="preserve">Fiscal </w:t>
      </w:r>
      <w:proofErr w:type="gramStart"/>
      <w:r>
        <w:t>2023-2024</w:t>
      </w:r>
      <w:r w:rsidRPr="004D13D5">
        <w:t xml:space="preserve"> year</w:t>
      </w:r>
      <w:proofErr w:type="gramEnd"/>
      <w:r w:rsidRPr="004D13D5">
        <w:t>, budget transfers greater than $</w:t>
      </w:r>
      <w:bookmarkEnd w:id="5"/>
      <w:r>
        <w:t>25,012</w:t>
      </w:r>
      <w:r w:rsidRPr="004D13D5">
        <w:t>, or amendments which change the original budget in total or amendments requiring the use of unappropriated fund balance, require Town Commission approval; and,</w:t>
      </w:r>
    </w:p>
    <w:p w14:paraId="3D6D91BB" w14:textId="26127504" w:rsidR="00E05490" w:rsidRPr="004D13D5" w:rsidRDefault="00E05490" w:rsidP="00E05490">
      <w:pPr>
        <w:autoSpaceDE w:val="0"/>
        <w:autoSpaceDN w:val="0"/>
        <w:adjustRightInd w:val="0"/>
        <w:spacing w:after="120"/>
        <w:ind w:firstLine="720"/>
        <w:jc w:val="both"/>
      </w:pPr>
      <w:r w:rsidRPr="004D13D5">
        <w:rPr>
          <w:b/>
        </w:rPr>
        <w:t>WHEREA</w:t>
      </w:r>
      <w:r w:rsidRPr="008C4791">
        <w:rPr>
          <w:b/>
        </w:rPr>
        <w:t>S,</w:t>
      </w:r>
      <w:r>
        <w:t xml:space="preserve"> Town staff incurred overtime in preparation and aftermath of Hurricane </w:t>
      </w:r>
      <w:r w:rsidR="00F4778F">
        <w:t>Helene</w:t>
      </w:r>
      <w:r>
        <w:t xml:space="preserve">; </w:t>
      </w:r>
      <w:r w:rsidRPr="004D13D5">
        <w:t>and,</w:t>
      </w:r>
    </w:p>
    <w:p w14:paraId="2F7C81AF" w14:textId="77777777" w:rsidR="00E05490" w:rsidRDefault="00E05490" w:rsidP="00E05490">
      <w:pPr>
        <w:spacing w:after="120"/>
        <w:ind w:firstLine="720"/>
        <w:jc w:val="both"/>
      </w:pPr>
      <w:r w:rsidRPr="004D13D5">
        <w:rPr>
          <w:b/>
        </w:rPr>
        <w:t>WHEREAS</w:t>
      </w:r>
      <w:r>
        <w:rPr>
          <w:b/>
        </w:rPr>
        <w:t xml:space="preserve">, </w:t>
      </w:r>
      <w:r>
        <w:rPr>
          <w:bCs/>
        </w:rPr>
        <w:t>the overtime exceeded the budgets in both Police and Fire Departments over the level of Town Manager authority</w:t>
      </w:r>
      <w:r w:rsidRPr="004D13D5">
        <w:t>; and,</w:t>
      </w:r>
    </w:p>
    <w:p w14:paraId="5687ECBE" w14:textId="77777777" w:rsidR="00E05490" w:rsidRPr="004D13D5" w:rsidRDefault="00E05490" w:rsidP="00E05490">
      <w:pPr>
        <w:spacing w:after="120"/>
        <w:ind w:firstLine="720"/>
        <w:jc w:val="both"/>
      </w:pPr>
      <w:r w:rsidRPr="004D13D5">
        <w:rPr>
          <w:b/>
        </w:rPr>
        <w:t>WHEREAS</w:t>
      </w:r>
      <w:r>
        <w:rPr>
          <w:b/>
        </w:rPr>
        <w:t xml:space="preserve">, </w:t>
      </w:r>
      <w:r w:rsidRPr="008C4791">
        <w:rPr>
          <w:bCs/>
        </w:rPr>
        <w:t>a</w:t>
      </w:r>
      <w:r>
        <w:rPr>
          <w:bCs/>
        </w:rPr>
        <w:t xml:space="preserve"> resolution is required to transfer funds from contingency to the Police and Fire overtime budgets</w:t>
      </w:r>
      <w:r w:rsidRPr="008C4791">
        <w:rPr>
          <w:bCs/>
        </w:rPr>
        <w:t>;</w:t>
      </w:r>
      <w:r>
        <w:rPr>
          <w:bCs/>
        </w:rPr>
        <w:t xml:space="preserve"> and,</w:t>
      </w:r>
    </w:p>
    <w:p w14:paraId="37920A84" w14:textId="77777777" w:rsidR="00E05490" w:rsidRPr="004D13D5" w:rsidRDefault="00E05490" w:rsidP="00E05490">
      <w:pPr>
        <w:spacing w:after="120"/>
        <w:ind w:firstLine="720"/>
        <w:jc w:val="both"/>
      </w:pPr>
      <w:r w:rsidRPr="004D13D5">
        <w:rPr>
          <w:b/>
        </w:rPr>
        <w:t>WHEREAS,</w:t>
      </w:r>
      <w:r w:rsidRPr="004D13D5">
        <w:t xml:space="preserve"> the Finance Director certifies that there are available and unallocated funds in the Fiscal Year (FY) </w:t>
      </w:r>
      <w:r>
        <w:t>2023-2024</w:t>
      </w:r>
      <w:r w:rsidRPr="004D13D5">
        <w:t xml:space="preserve"> </w:t>
      </w:r>
      <w:r>
        <w:t>contingency account</w:t>
      </w:r>
      <w:r w:rsidRPr="004D13D5">
        <w:t xml:space="preserve"> to make the above referenced transfers; and,</w:t>
      </w:r>
    </w:p>
    <w:p w14:paraId="78AA4D74" w14:textId="77777777" w:rsidR="00E05490" w:rsidRPr="00591121" w:rsidRDefault="00E05490" w:rsidP="00E05490">
      <w:pPr>
        <w:spacing w:after="120"/>
        <w:ind w:firstLine="720"/>
        <w:jc w:val="both"/>
      </w:pPr>
      <w:r w:rsidRPr="00591121">
        <w:rPr>
          <w:b/>
        </w:rPr>
        <w:t xml:space="preserve">WHEREAS, </w:t>
      </w:r>
      <w:r w:rsidRPr="00591121">
        <w:t>Article V, Section 9 of the Town Charter provides for such budget amendments; and,</w:t>
      </w:r>
    </w:p>
    <w:p w14:paraId="386A63BC" w14:textId="77777777" w:rsidR="00E05490" w:rsidRPr="00591121" w:rsidRDefault="00E05490" w:rsidP="00E05490">
      <w:pPr>
        <w:spacing w:after="120"/>
        <w:ind w:firstLine="720"/>
        <w:jc w:val="both"/>
        <w:rPr>
          <w:rFonts w:cs="Arial"/>
        </w:rPr>
      </w:pPr>
      <w:r w:rsidRPr="00591121">
        <w:rPr>
          <w:rFonts w:cs="Arial"/>
          <w:b/>
        </w:rPr>
        <w:t>NOW, THEREFORE,</w:t>
      </w:r>
      <w:r w:rsidRPr="00591121">
        <w:rPr>
          <w:rFonts w:cs="Arial"/>
        </w:rPr>
        <w:t xml:space="preserve"> be it resolved by the Town Commission of the Town of Longboat Key, Florida, that:</w:t>
      </w:r>
    </w:p>
    <w:p w14:paraId="6481023B" w14:textId="77777777" w:rsidR="00E05490" w:rsidRPr="00591121" w:rsidRDefault="00E05490" w:rsidP="00E05490">
      <w:pPr>
        <w:spacing w:after="120"/>
        <w:ind w:firstLine="720"/>
        <w:jc w:val="both"/>
      </w:pPr>
      <w:r w:rsidRPr="00591121">
        <w:t>SECTION 1.</w:t>
      </w:r>
      <w:r w:rsidRPr="00591121">
        <w:tab/>
        <w:t>The above Whereas clauses are true and correct and are hereby ratified, confirmed and fully incorporated by reference.</w:t>
      </w:r>
    </w:p>
    <w:p w14:paraId="443F7098" w14:textId="77777777" w:rsidR="00E05490" w:rsidRDefault="00E05490" w:rsidP="00E05490">
      <w:pPr>
        <w:spacing w:after="120"/>
        <w:ind w:firstLine="720"/>
        <w:jc w:val="both"/>
      </w:pPr>
      <w:r w:rsidRPr="00591121">
        <w:t>SECTION 2.</w:t>
      </w:r>
      <w:r w:rsidRPr="00591121">
        <w:tab/>
        <w:t>The Adopted Budgets of the designated Funds referenced above of the Town of Longboat Key for the fiscal year beginning October 1, 2023, and ending September 30, 2024, as adopted pursuant to Resolution 2023-19 are hereby amended as follows:</w:t>
      </w:r>
      <w:r>
        <w:br w:type="page"/>
      </w:r>
    </w:p>
    <w:p w14:paraId="50CF44EB" w14:textId="77777777" w:rsidR="00E05490" w:rsidRDefault="00E05490" w:rsidP="00E05490">
      <w:pPr>
        <w:tabs>
          <w:tab w:val="left" w:pos="2250"/>
          <w:tab w:val="left" w:pos="2520"/>
        </w:tabs>
        <w:jc w:val="both"/>
      </w:pPr>
      <w:r>
        <w:lastRenderedPageBreak/>
        <w:t>General</w:t>
      </w:r>
      <w:r w:rsidRPr="00243B7C">
        <w:t xml:space="preserve"> Fund (#</w:t>
      </w:r>
      <w:r>
        <w:t>001</w:t>
      </w:r>
      <w:r w:rsidRPr="00243B7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870"/>
        <w:gridCol w:w="1790"/>
      </w:tblGrid>
      <w:tr w:rsidR="00E05490" w:rsidRPr="00EC0E8B" w14:paraId="62CA3B2A" w14:textId="77777777" w:rsidTr="00D06F5C">
        <w:tc>
          <w:tcPr>
            <w:tcW w:w="3690" w:type="dxa"/>
            <w:vAlign w:val="center"/>
          </w:tcPr>
          <w:p w14:paraId="3A93D313" w14:textId="77777777" w:rsidR="00E05490" w:rsidRPr="00EC0E8B" w:rsidRDefault="00E05490" w:rsidP="00D06F5C">
            <w:pPr>
              <w:rPr>
                <w:rFonts w:cs="Arial"/>
                <w:b/>
                <w:szCs w:val="24"/>
              </w:rPr>
            </w:pPr>
            <w:r w:rsidRPr="00EC0E8B">
              <w:rPr>
                <w:rFonts w:cs="Arial"/>
                <w:b/>
                <w:szCs w:val="24"/>
              </w:rPr>
              <w:t>Account number</w:t>
            </w:r>
          </w:p>
        </w:tc>
        <w:tc>
          <w:tcPr>
            <w:tcW w:w="3870" w:type="dxa"/>
            <w:vAlign w:val="center"/>
          </w:tcPr>
          <w:p w14:paraId="5415425D" w14:textId="77777777" w:rsidR="00E05490" w:rsidRPr="00EC0E8B" w:rsidRDefault="00E05490" w:rsidP="00D06F5C">
            <w:pPr>
              <w:rPr>
                <w:rFonts w:cs="Arial"/>
                <w:b/>
                <w:szCs w:val="24"/>
              </w:rPr>
            </w:pPr>
            <w:r w:rsidRPr="00EC0E8B">
              <w:rPr>
                <w:rFonts w:cs="Arial"/>
                <w:b/>
                <w:szCs w:val="24"/>
              </w:rPr>
              <w:t>Account Description</w:t>
            </w:r>
          </w:p>
        </w:tc>
        <w:tc>
          <w:tcPr>
            <w:tcW w:w="1790" w:type="dxa"/>
            <w:vAlign w:val="center"/>
          </w:tcPr>
          <w:p w14:paraId="4E9FC80B" w14:textId="77777777" w:rsidR="00E05490" w:rsidRPr="00EC0E8B" w:rsidRDefault="00E05490" w:rsidP="00D06F5C">
            <w:pPr>
              <w:jc w:val="right"/>
              <w:rPr>
                <w:rFonts w:cs="Arial"/>
                <w:b/>
                <w:szCs w:val="24"/>
              </w:rPr>
            </w:pPr>
            <w:r w:rsidRPr="00EC0E8B">
              <w:rPr>
                <w:rFonts w:cs="Arial"/>
                <w:b/>
                <w:szCs w:val="24"/>
              </w:rPr>
              <w:t>Increase (Decrease)</w:t>
            </w:r>
          </w:p>
        </w:tc>
      </w:tr>
      <w:tr w:rsidR="00E05490" w:rsidRPr="00EC0E8B" w14:paraId="413F129D" w14:textId="77777777" w:rsidTr="00D06F5C">
        <w:tc>
          <w:tcPr>
            <w:tcW w:w="3690" w:type="dxa"/>
          </w:tcPr>
          <w:p w14:paraId="034CAD0D" w14:textId="77777777" w:rsidR="00E05490" w:rsidRPr="00EC0E8B" w:rsidRDefault="00E05490" w:rsidP="00D06F5C">
            <w:pPr>
              <w:rPr>
                <w:rFonts w:cs="Arial"/>
                <w:sz w:val="22"/>
              </w:rPr>
            </w:pPr>
            <w:r>
              <w:rPr>
                <w:rFonts w:cs="Arial"/>
                <w:sz w:val="22"/>
              </w:rPr>
              <w:t>001-20-19-514.1402</w:t>
            </w:r>
          </w:p>
        </w:tc>
        <w:tc>
          <w:tcPr>
            <w:tcW w:w="3870" w:type="dxa"/>
          </w:tcPr>
          <w:p w14:paraId="2F9789B1" w14:textId="77777777" w:rsidR="00E05490" w:rsidRPr="00EC0E8B" w:rsidRDefault="00E05490" w:rsidP="00D06F5C">
            <w:pPr>
              <w:rPr>
                <w:rFonts w:cs="Arial"/>
                <w:sz w:val="22"/>
              </w:rPr>
            </w:pPr>
            <w:r>
              <w:rPr>
                <w:rFonts w:cs="Arial"/>
                <w:sz w:val="22"/>
              </w:rPr>
              <w:t>Police - Overtime</w:t>
            </w:r>
          </w:p>
        </w:tc>
        <w:tc>
          <w:tcPr>
            <w:tcW w:w="1790" w:type="dxa"/>
          </w:tcPr>
          <w:p w14:paraId="638A0718" w14:textId="77777777" w:rsidR="00E05490" w:rsidRPr="00EC0E8B" w:rsidRDefault="00E05490" w:rsidP="00D06F5C">
            <w:pPr>
              <w:jc w:val="right"/>
              <w:rPr>
                <w:rFonts w:cs="Arial"/>
                <w:sz w:val="22"/>
              </w:rPr>
            </w:pPr>
            <w:r w:rsidRPr="00EC0E8B">
              <w:rPr>
                <w:rFonts w:cs="Arial"/>
                <w:sz w:val="22"/>
              </w:rPr>
              <w:t>$</w:t>
            </w:r>
            <w:r>
              <w:rPr>
                <w:rFonts w:cs="Arial"/>
                <w:sz w:val="22"/>
              </w:rPr>
              <w:t>145,734</w:t>
            </w:r>
          </w:p>
        </w:tc>
      </w:tr>
      <w:tr w:rsidR="00E05490" w:rsidRPr="00EC0E8B" w14:paraId="64B24021" w14:textId="77777777" w:rsidTr="00D06F5C">
        <w:tc>
          <w:tcPr>
            <w:tcW w:w="3690" w:type="dxa"/>
          </w:tcPr>
          <w:p w14:paraId="2BB9E448" w14:textId="77777777" w:rsidR="00E05490" w:rsidRPr="00EC0E8B" w:rsidRDefault="00E05490" w:rsidP="00D06F5C">
            <w:pPr>
              <w:rPr>
                <w:rFonts w:cs="Arial"/>
                <w:sz w:val="22"/>
              </w:rPr>
            </w:pPr>
            <w:r>
              <w:rPr>
                <w:rFonts w:cs="Arial"/>
                <w:sz w:val="22"/>
              </w:rPr>
              <w:t>001-20-20-514.1402</w:t>
            </w:r>
          </w:p>
        </w:tc>
        <w:tc>
          <w:tcPr>
            <w:tcW w:w="3870" w:type="dxa"/>
          </w:tcPr>
          <w:p w14:paraId="1577706E" w14:textId="77777777" w:rsidR="00E05490" w:rsidRPr="00EC0E8B" w:rsidRDefault="00E05490" w:rsidP="00D06F5C">
            <w:pPr>
              <w:rPr>
                <w:rFonts w:cs="Arial"/>
                <w:sz w:val="22"/>
              </w:rPr>
            </w:pPr>
            <w:r>
              <w:rPr>
                <w:rFonts w:cs="Arial"/>
                <w:sz w:val="22"/>
              </w:rPr>
              <w:t>Fire- Overtime</w:t>
            </w:r>
          </w:p>
        </w:tc>
        <w:tc>
          <w:tcPr>
            <w:tcW w:w="1790" w:type="dxa"/>
          </w:tcPr>
          <w:p w14:paraId="2220F05F" w14:textId="77777777" w:rsidR="00E05490" w:rsidRPr="00EC0E8B" w:rsidRDefault="00E05490" w:rsidP="00D06F5C">
            <w:pPr>
              <w:jc w:val="right"/>
              <w:rPr>
                <w:rFonts w:cs="Arial"/>
                <w:sz w:val="22"/>
              </w:rPr>
            </w:pPr>
            <w:r w:rsidRPr="00EC0E8B">
              <w:rPr>
                <w:rFonts w:cs="Arial"/>
                <w:sz w:val="22"/>
              </w:rPr>
              <w:t>$</w:t>
            </w:r>
            <w:r>
              <w:rPr>
                <w:rFonts w:cs="Arial"/>
                <w:sz w:val="22"/>
              </w:rPr>
              <w:t>54,367</w:t>
            </w:r>
          </w:p>
        </w:tc>
      </w:tr>
      <w:tr w:rsidR="00E05490" w:rsidRPr="00EC0E8B" w14:paraId="5248208D" w14:textId="77777777" w:rsidTr="00D06F5C">
        <w:tc>
          <w:tcPr>
            <w:tcW w:w="3690" w:type="dxa"/>
          </w:tcPr>
          <w:p w14:paraId="2553271A" w14:textId="77777777" w:rsidR="00E05490" w:rsidRPr="00EC0E8B" w:rsidRDefault="00E05490" w:rsidP="00D06F5C">
            <w:pPr>
              <w:rPr>
                <w:rFonts w:cs="Arial"/>
                <w:sz w:val="22"/>
              </w:rPr>
            </w:pPr>
            <w:r>
              <w:rPr>
                <w:rFonts w:cs="Arial"/>
                <w:sz w:val="22"/>
              </w:rPr>
              <w:t>001-10-31-599.9901</w:t>
            </w:r>
          </w:p>
        </w:tc>
        <w:tc>
          <w:tcPr>
            <w:tcW w:w="3870" w:type="dxa"/>
          </w:tcPr>
          <w:p w14:paraId="020FE69E" w14:textId="77777777" w:rsidR="00E05490" w:rsidRPr="00EC0E8B" w:rsidRDefault="00E05490" w:rsidP="00D06F5C">
            <w:pPr>
              <w:rPr>
                <w:rFonts w:cs="Arial"/>
                <w:sz w:val="22"/>
              </w:rPr>
            </w:pPr>
            <w:r>
              <w:rPr>
                <w:rFonts w:cs="Arial"/>
                <w:sz w:val="22"/>
              </w:rPr>
              <w:t>Contingency</w:t>
            </w:r>
          </w:p>
        </w:tc>
        <w:tc>
          <w:tcPr>
            <w:tcW w:w="1790" w:type="dxa"/>
          </w:tcPr>
          <w:p w14:paraId="370EEA87" w14:textId="77777777" w:rsidR="00E05490" w:rsidRPr="00EC0E8B" w:rsidRDefault="00E05490" w:rsidP="00D06F5C">
            <w:pPr>
              <w:jc w:val="right"/>
              <w:rPr>
                <w:rFonts w:cs="Arial"/>
                <w:sz w:val="22"/>
              </w:rPr>
            </w:pPr>
            <w:r>
              <w:rPr>
                <w:rFonts w:cs="Arial"/>
                <w:sz w:val="22"/>
              </w:rPr>
              <w:t>($200,101)</w:t>
            </w:r>
          </w:p>
        </w:tc>
      </w:tr>
    </w:tbl>
    <w:p w14:paraId="34159418" w14:textId="77777777" w:rsidR="00E05490" w:rsidRDefault="00E05490" w:rsidP="00E05490">
      <w:pPr>
        <w:tabs>
          <w:tab w:val="left" w:pos="2250"/>
          <w:tab w:val="left" w:pos="2520"/>
        </w:tabs>
        <w:jc w:val="both"/>
      </w:pPr>
    </w:p>
    <w:p w14:paraId="3ADF3283" w14:textId="77777777" w:rsidR="00E05490" w:rsidRPr="00591121" w:rsidRDefault="00E05490" w:rsidP="00E05490">
      <w:pPr>
        <w:spacing w:before="240" w:after="120"/>
        <w:ind w:firstLine="720"/>
        <w:jc w:val="both"/>
        <w:rPr>
          <w:spacing w:val="-3"/>
        </w:rPr>
      </w:pPr>
      <w:r w:rsidRPr="00591121">
        <w:rPr>
          <w:spacing w:val="-3"/>
        </w:rPr>
        <w:t>SECTION 3.</w:t>
      </w:r>
      <w:r w:rsidRPr="00591121">
        <w:rPr>
          <w:spacing w:val="-3"/>
        </w:rPr>
        <w:tab/>
        <w:t>If any section, subsection, sentence, clause, or provision of this Resolution is held invalid, the remainder of the Resolution shall not be affected.</w:t>
      </w:r>
    </w:p>
    <w:p w14:paraId="1FA1A49B" w14:textId="77777777" w:rsidR="00E05490" w:rsidRPr="00591121" w:rsidRDefault="00E05490" w:rsidP="00E05490">
      <w:pPr>
        <w:spacing w:after="120"/>
        <w:ind w:firstLine="720"/>
        <w:jc w:val="both"/>
      </w:pPr>
      <w:r w:rsidRPr="00591121">
        <w:rPr>
          <w:spacing w:val="-3"/>
        </w:rPr>
        <w:t>SECTION 4.</w:t>
      </w:r>
      <w:r w:rsidRPr="00591121">
        <w:rPr>
          <w:spacing w:val="-3"/>
        </w:rPr>
        <w:tab/>
        <w:t>This Resolution shall become effective immediately upon adoption.</w:t>
      </w:r>
    </w:p>
    <w:p w14:paraId="1734A00F" w14:textId="77777777" w:rsidR="00E05490" w:rsidRPr="00591121" w:rsidRDefault="00E05490" w:rsidP="00E05490">
      <w:pPr>
        <w:spacing w:after="360"/>
        <w:ind w:firstLine="720"/>
        <w:jc w:val="both"/>
        <w:rPr>
          <w:spacing w:val="-3"/>
        </w:rPr>
      </w:pPr>
      <w:r w:rsidRPr="00591121">
        <w:rPr>
          <w:spacing w:val="-3"/>
        </w:rPr>
        <w:t xml:space="preserve">Passed at a meeting of the Town Commission of Longboat Key, Florida, following public hearing, this </w:t>
      </w:r>
      <w:r>
        <w:rPr>
          <w:spacing w:val="-3"/>
        </w:rPr>
        <w:t>2</w:t>
      </w:r>
      <w:r w:rsidRPr="00591121">
        <w:rPr>
          <w:spacing w:val="-3"/>
        </w:rPr>
        <w:t xml:space="preserve">th day of </w:t>
      </w:r>
      <w:r>
        <w:rPr>
          <w:spacing w:val="-3"/>
        </w:rPr>
        <w:t>December</w:t>
      </w:r>
      <w:r w:rsidRPr="00591121">
        <w:rPr>
          <w:spacing w:val="-3"/>
        </w:rPr>
        <w:t>, 20</w:t>
      </w:r>
      <w:r>
        <w:rPr>
          <w:spacing w:val="-3"/>
        </w:rPr>
        <w:t>24</w:t>
      </w:r>
      <w:r w:rsidRPr="00591121">
        <w:rPr>
          <w:spacing w:val="-3"/>
        </w:rPr>
        <w:t>.</w:t>
      </w:r>
    </w:p>
    <w:p w14:paraId="58ED1971" w14:textId="77777777" w:rsidR="00E05490" w:rsidRPr="00243B7C" w:rsidRDefault="00E05490" w:rsidP="00E05490">
      <w:pPr>
        <w:spacing w:after="0"/>
        <w:ind w:left="5760"/>
      </w:pPr>
      <w:r w:rsidRPr="00243B7C">
        <w:t>__________________________</w:t>
      </w:r>
    </w:p>
    <w:p w14:paraId="1AF5F485" w14:textId="77777777" w:rsidR="00E05490" w:rsidRPr="00243B7C" w:rsidRDefault="00E05490" w:rsidP="00E05490">
      <w:pPr>
        <w:ind w:left="5760"/>
      </w:pPr>
      <w:r w:rsidRPr="00243B7C">
        <w:t>Kenneth Schneier, Mayor</w:t>
      </w:r>
    </w:p>
    <w:p w14:paraId="68B25E71" w14:textId="77777777" w:rsidR="00E05490" w:rsidRPr="00243B7C" w:rsidRDefault="00E05490" w:rsidP="00E05490">
      <w:pPr>
        <w:spacing w:after="360"/>
      </w:pPr>
      <w:r w:rsidRPr="00243B7C">
        <w:t>ATTEST:</w:t>
      </w:r>
    </w:p>
    <w:p w14:paraId="1DDE03DF" w14:textId="77777777" w:rsidR="00E05490" w:rsidRPr="00243B7C" w:rsidRDefault="00E05490" w:rsidP="00E05490">
      <w:pPr>
        <w:spacing w:after="0"/>
        <w:ind w:left="1440" w:hanging="1440"/>
        <w:jc w:val="both"/>
      </w:pPr>
      <w:r w:rsidRPr="00243B7C">
        <w:t>________________________</w:t>
      </w:r>
    </w:p>
    <w:p w14:paraId="69474E49" w14:textId="77777777" w:rsidR="00E05490" w:rsidRPr="00933D8B" w:rsidRDefault="00E05490" w:rsidP="00E05490">
      <w:pPr>
        <w:tabs>
          <w:tab w:val="left" w:pos="7896"/>
        </w:tabs>
        <w:spacing w:after="0"/>
        <w:ind w:left="-720" w:firstLine="720"/>
      </w:pPr>
      <w:r w:rsidRPr="00243B7C">
        <w:t>Trish Shinkle, Town Clerk</w:t>
      </w:r>
    </w:p>
    <w:p w14:paraId="411BD9CE" w14:textId="16AD94BD" w:rsidR="00F22623" w:rsidRPr="00933D8B" w:rsidRDefault="00F22623" w:rsidP="00E05490">
      <w:pPr>
        <w:tabs>
          <w:tab w:val="left" w:pos="450"/>
          <w:tab w:val="left" w:pos="720"/>
        </w:tabs>
        <w:spacing w:after="120"/>
        <w:ind w:right="864" w:firstLine="1440"/>
        <w:jc w:val="center"/>
      </w:pPr>
    </w:p>
    <w:sectPr w:rsidR="00F22623" w:rsidRPr="00933D8B" w:rsidSect="00087F51">
      <w:footerReference w:type="default" r:id="rId10"/>
      <w:footerReference w:type="first" r:id="rId11"/>
      <w:footnotePr>
        <w:numRestart w:val="eachPage"/>
      </w:footnotePr>
      <w:pgSz w:w="12240" w:h="15840"/>
      <w:pgMar w:top="806" w:right="1260" w:bottom="864" w:left="16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6C35" w14:textId="77777777" w:rsidR="005B46C2" w:rsidRDefault="005B46C2" w:rsidP="005617A2">
      <w:pPr>
        <w:spacing w:after="0" w:line="240" w:lineRule="auto"/>
      </w:pPr>
      <w:r>
        <w:separator/>
      </w:r>
    </w:p>
  </w:endnote>
  <w:endnote w:type="continuationSeparator" w:id="0">
    <w:p w14:paraId="051C8496" w14:textId="77777777" w:rsidR="005B46C2" w:rsidRDefault="005B46C2" w:rsidP="0056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29493"/>
      <w:docPartObj>
        <w:docPartGallery w:val="Page Numbers (Bottom of Page)"/>
        <w:docPartUnique/>
      </w:docPartObj>
    </w:sdtPr>
    <w:sdtEndPr/>
    <w:sdtContent>
      <w:sdt>
        <w:sdtPr>
          <w:id w:val="445890673"/>
          <w:docPartObj>
            <w:docPartGallery w:val="Page Numbers (Top of Page)"/>
            <w:docPartUnique/>
          </w:docPartObj>
        </w:sdtPr>
        <w:sdtEndPr/>
        <w:sdtContent>
          <w:p w14:paraId="6F934346" w14:textId="77777777" w:rsidR="00087F51" w:rsidRPr="00087F51" w:rsidRDefault="00087F51" w:rsidP="00087F51">
            <w:pPr>
              <w:pStyle w:val="Footer"/>
              <w:tabs>
                <w:tab w:val="clear" w:pos="8640"/>
                <w:tab w:val="right" w:pos="9360"/>
              </w:tabs>
            </w:pPr>
            <w:r>
              <w:tab/>
            </w:r>
            <w:r w:rsidRPr="00087F51">
              <w:t xml:space="preserve">Page </w:t>
            </w:r>
            <w:r w:rsidRPr="00087F51">
              <w:rPr>
                <w:bCs/>
                <w:szCs w:val="24"/>
              </w:rPr>
              <w:fldChar w:fldCharType="begin"/>
            </w:r>
            <w:r w:rsidRPr="00087F51">
              <w:rPr>
                <w:bCs/>
              </w:rPr>
              <w:instrText xml:space="preserve"> PAGE </w:instrText>
            </w:r>
            <w:r w:rsidRPr="00087F51">
              <w:rPr>
                <w:bCs/>
                <w:szCs w:val="24"/>
              </w:rPr>
              <w:fldChar w:fldCharType="separate"/>
            </w:r>
            <w:r>
              <w:rPr>
                <w:bCs/>
                <w:szCs w:val="24"/>
              </w:rPr>
              <w:t>2</w:t>
            </w:r>
            <w:r w:rsidRPr="00087F51">
              <w:rPr>
                <w:bCs/>
                <w:szCs w:val="24"/>
              </w:rPr>
              <w:fldChar w:fldCharType="end"/>
            </w:r>
            <w:r w:rsidRPr="00087F51">
              <w:t xml:space="preserve"> of </w:t>
            </w:r>
            <w:r w:rsidR="001B7776">
              <w:t>2</w:t>
            </w:r>
            <w:r>
              <w:rPr>
                <w:bCs/>
                <w:szCs w:val="24"/>
              </w:rPr>
              <w:tab/>
              <w:t xml:space="preserve">Resolution </w:t>
            </w:r>
            <w:r w:rsidR="00933D8B">
              <w:rPr>
                <w:bCs/>
                <w:szCs w:val="24"/>
              </w:rPr>
              <w:t>202</w:t>
            </w:r>
            <w:r w:rsidR="001B7776">
              <w:rPr>
                <w:bCs/>
                <w:szCs w:val="24"/>
              </w:rPr>
              <w:t>4</w:t>
            </w:r>
            <w:r w:rsidR="00933D8B">
              <w:rPr>
                <w:bCs/>
                <w:szCs w:val="24"/>
              </w:rPr>
              <w:t>-</w:t>
            </w:r>
            <w:r w:rsidR="001B7776">
              <w:rPr>
                <w:bCs/>
                <w:szCs w:val="24"/>
              </w:rPr>
              <w:t>27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599322"/>
      <w:docPartObj>
        <w:docPartGallery w:val="Page Numbers (Bottom of Page)"/>
        <w:docPartUnique/>
      </w:docPartObj>
    </w:sdtPr>
    <w:sdtEndPr/>
    <w:sdtContent>
      <w:sdt>
        <w:sdtPr>
          <w:id w:val="-1705238520"/>
          <w:docPartObj>
            <w:docPartGallery w:val="Page Numbers (Top of Page)"/>
            <w:docPartUnique/>
          </w:docPartObj>
        </w:sdtPr>
        <w:sdtEndPr/>
        <w:sdtContent>
          <w:p w14:paraId="3C0DA228" w14:textId="77777777" w:rsidR="00087F51" w:rsidRDefault="00087F51" w:rsidP="00087F51">
            <w:pPr>
              <w:pStyle w:val="Footer"/>
              <w:tabs>
                <w:tab w:val="clear" w:pos="8640"/>
                <w:tab w:val="right" w:pos="9360"/>
              </w:tabs>
            </w:pPr>
            <w:r>
              <w:tab/>
            </w:r>
            <w:r w:rsidRPr="00087F51">
              <w:t xml:space="preserve">Page </w:t>
            </w:r>
            <w:r w:rsidRPr="00087F51">
              <w:rPr>
                <w:bCs/>
                <w:szCs w:val="24"/>
              </w:rPr>
              <w:fldChar w:fldCharType="begin"/>
            </w:r>
            <w:r w:rsidRPr="00087F51">
              <w:rPr>
                <w:bCs/>
              </w:rPr>
              <w:instrText xml:space="preserve"> PAGE </w:instrText>
            </w:r>
            <w:r w:rsidRPr="00087F51">
              <w:rPr>
                <w:bCs/>
                <w:szCs w:val="24"/>
              </w:rPr>
              <w:fldChar w:fldCharType="separate"/>
            </w:r>
            <w:r w:rsidRPr="00087F51">
              <w:rPr>
                <w:bCs/>
                <w:noProof/>
              </w:rPr>
              <w:t>2</w:t>
            </w:r>
            <w:r w:rsidRPr="00087F51">
              <w:rPr>
                <w:bCs/>
                <w:szCs w:val="24"/>
              </w:rPr>
              <w:fldChar w:fldCharType="end"/>
            </w:r>
            <w:r w:rsidRPr="00087F51">
              <w:t xml:space="preserve"> of </w:t>
            </w:r>
            <w:r w:rsidR="001B7776">
              <w:rPr>
                <w:bCs/>
                <w:szCs w:val="24"/>
              </w:rPr>
              <w:t>2</w:t>
            </w:r>
            <w:r>
              <w:rPr>
                <w:bCs/>
                <w:szCs w:val="24"/>
              </w:rPr>
              <w:tab/>
              <w:t xml:space="preserve">Resolution </w:t>
            </w:r>
            <w:r w:rsidR="00591121">
              <w:rPr>
                <w:bCs/>
                <w:szCs w:val="24"/>
              </w:rPr>
              <w:t>2024-2</w:t>
            </w:r>
            <w:r w:rsidR="001D7382">
              <w:rPr>
                <w:bCs/>
                <w:szCs w:val="24"/>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EDA9" w14:textId="77777777" w:rsidR="005B46C2" w:rsidRDefault="005B46C2" w:rsidP="005617A2">
      <w:pPr>
        <w:spacing w:after="0" w:line="240" w:lineRule="auto"/>
      </w:pPr>
      <w:r>
        <w:separator/>
      </w:r>
    </w:p>
  </w:footnote>
  <w:footnote w:type="continuationSeparator" w:id="0">
    <w:p w14:paraId="0E03725A" w14:textId="77777777" w:rsidR="005B46C2" w:rsidRDefault="005B46C2" w:rsidP="00561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06F"/>
    <w:multiLevelType w:val="hybridMultilevel"/>
    <w:tmpl w:val="43C4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B48EB"/>
    <w:multiLevelType w:val="hybridMultilevel"/>
    <w:tmpl w:val="32B48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31CBC"/>
    <w:multiLevelType w:val="hybridMultilevel"/>
    <w:tmpl w:val="08C8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B4EDB"/>
    <w:multiLevelType w:val="hybridMultilevel"/>
    <w:tmpl w:val="8A8A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66276"/>
    <w:multiLevelType w:val="hybridMultilevel"/>
    <w:tmpl w:val="339A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70822"/>
    <w:multiLevelType w:val="hybridMultilevel"/>
    <w:tmpl w:val="514E9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679E9"/>
    <w:multiLevelType w:val="hybridMultilevel"/>
    <w:tmpl w:val="8904E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D79D5"/>
    <w:multiLevelType w:val="hybridMultilevel"/>
    <w:tmpl w:val="78F0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A6FBD"/>
    <w:multiLevelType w:val="hybridMultilevel"/>
    <w:tmpl w:val="E71CE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EE7FFD"/>
    <w:multiLevelType w:val="hybridMultilevel"/>
    <w:tmpl w:val="BA1EC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5"/>
  </w:num>
  <w:num w:numId="5">
    <w:abstractNumId w:val="1"/>
  </w:num>
  <w:num w:numId="6">
    <w:abstractNumId w:val="3"/>
  </w:num>
  <w:num w:numId="7">
    <w:abstractNumId w:val="2"/>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16"/>
    <w:rsid w:val="00040AFF"/>
    <w:rsid w:val="00063EC9"/>
    <w:rsid w:val="000650D1"/>
    <w:rsid w:val="0006741C"/>
    <w:rsid w:val="00074B0E"/>
    <w:rsid w:val="00087F51"/>
    <w:rsid w:val="000A5BDE"/>
    <w:rsid w:val="000B064C"/>
    <w:rsid w:val="000B5863"/>
    <w:rsid w:val="000B67FA"/>
    <w:rsid w:val="000C77A1"/>
    <w:rsid w:val="000D7F1A"/>
    <w:rsid w:val="000E73B4"/>
    <w:rsid w:val="000F56EB"/>
    <w:rsid w:val="00102612"/>
    <w:rsid w:val="001135C4"/>
    <w:rsid w:val="00132906"/>
    <w:rsid w:val="00141ED4"/>
    <w:rsid w:val="00144B06"/>
    <w:rsid w:val="0016134B"/>
    <w:rsid w:val="00174578"/>
    <w:rsid w:val="0018057D"/>
    <w:rsid w:val="00192F56"/>
    <w:rsid w:val="001B7776"/>
    <w:rsid w:val="001D7382"/>
    <w:rsid w:val="001D78CB"/>
    <w:rsid w:val="001D7FF5"/>
    <w:rsid w:val="001F4FA2"/>
    <w:rsid w:val="001F4FC0"/>
    <w:rsid w:val="00206C3B"/>
    <w:rsid w:val="00211110"/>
    <w:rsid w:val="002204DE"/>
    <w:rsid w:val="00227935"/>
    <w:rsid w:val="00235146"/>
    <w:rsid w:val="00243B7C"/>
    <w:rsid w:val="002613DC"/>
    <w:rsid w:val="002757FC"/>
    <w:rsid w:val="002769A1"/>
    <w:rsid w:val="002878FA"/>
    <w:rsid w:val="0029084A"/>
    <w:rsid w:val="002A3A40"/>
    <w:rsid w:val="002A6F17"/>
    <w:rsid w:val="002B69C2"/>
    <w:rsid w:val="002B7BB2"/>
    <w:rsid w:val="002C1F14"/>
    <w:rsid w:val="002C74C4"/>
    <w:rsid w:val="002D3C38"/>
    <w:rsid w:val="002F592D"/>
    <w:rsid w:val="002F756B"/>
    <w:rsid w:val="002F77A5"/>
    <w:rsid w:val="002F7CC5"/>
    <w:rsid w:val="0030026F"/>
    <w:rsid w:val="00304200"/>
    <w:rsid w:val="00304278"/>
    <w:rsid w:val="00305AAA"/>
    <w:rsid w:val="00307099"/>
    <w:rsid w:val="00307738"/>
    <w:rsid w:val="003166A0"/>
    <w:rsid w:val="003267BB"/>
    <w:rsid w:val="00326C6A"/>
    <w:rsid w:val="00332E6D"/>
    <w:rsid w:val="00335780"/>
    <w:rsid w:val="00342CAE"/>
    <w:rsid w:val="00357F51"/>
    <w:rsid w:val="00367F1D"/>
    <w:rsid w:val="00393DB8"/>
    <w:rsid w:val="003B18FF"/>
    <w:rsid w:val="003D4382"/>
    <w:rsid w:val="003D68FC"/>
    <w:rsid w:val="00405E4A"/>
    <w:rsid w:val="00427973"/>
    <w:rsid w:val="00444010"/>
    <w:rsid w:val="00445E3F"/>
    <w:rsid w:val="00460A36"/>
    <w:rsid w:val="004746A0"/>
    <w:rsid w:val="0048584E"/>
    <w:rsid w:val="004A107A"/>
    <w:rsid w:val="004B3CA0"/>
    <w:rsid w:val="004B5C7A"/>
    <w:rsid w:val="004B6CF7"/>
    <w:rsid w:val="004C1F24"/>
    <w:rsid w:val="004C3D3F"/>
    <w:rsid w:val="004C6382"/>
    <w:rsid w:val="004D13D5"/>
    <w:rsid w:val="004D3ED6"/>
    <w:rsid w:val="00530A7E"/>
    <w:rsid w:val="0053785F"/>
    <w:rsid w:val="005617A2"/>
    <w:rsid w:val="0056312E"/>
    <w:rsid w:val="0057188D"/>
    <w:rsid w:val="00591121"/>
    <w:rsid w:val="00594D56"/>
    <w:rsid w:val="005A3247"/>
    <w:rsid w:val="005A51E5"/>
    <w:rsid w:val="005B46C2"/>
    <w:rsid w:val="005C09B5"/>
    <w:rsid w:val="005D5FFF"/>
    <w:rsid w:val="00616C51"/>
    <w:rsid w:val="00623909"/>
    <w:rsid w:val="00661977"/>
    <w:rsid w:val="00681D8F"/>
    <w:rsid w:val="006837D5"/>
    <w:rsid w:val="00690677"/>
    <w:rsid w:val="006B71AF"/>
    <w:rsid w:val="006D6D4E"/>
    <w:rsid w:val="006F30E4"/>
    <w:rsid w:val="00702D9A"/>
    <w:rsid w:val="007310CE"/>
    <w:rsid w:val="007359A9"/>
    <w:rsid w:val="00737ABE"/>
    <w:rsid w:val="00762BA9"/>
    <w:rsid w:val="0077748C"/>
    <w:rsid w:val="007900C3"/>
    <w:rsid w:val="007E631F"/>
    <w:rsid w:val="00801F7A"/>
    <w:rsid w:val="008036D4"/>
    <w:rsid w:val="00811714"/>
    <w:rsid w:val="00812914"/>
    <w:rsid w:val="008216A3"/>
    <w:rsid w:val="0083100B"/>
    <w:rsid w:val="00837CA5"/>
    <w:rsid w:val="0084775A"/>
    <w:rsid w:val="008500F7"/>
    <w:rsid w:val="008629E2"/>
    <w:rsid w:val="00870699"/>
    <w:rsid w:val="008723FC"/>
    <w:rsid w:val="00884AF3"/>
    <w:rsid w:val="00896E40"/>
    <w:rsid w:val="008A10E5"/>
    <w:rsid w:val="008A4E02"/>
    <w:rsid w:val="008A500B"/>
    <w:rsid w:val="008A519B"/>
    <w:rsid w:val="008B079F"/>
    <w:rsid w:val="008B09CA"/>
    <w:rsid w:val="008C02E1"/>
    <w:rsid w:val="008C2358"/>
    <w:rsid w:val="008F5268"/>
    <w:rsid w:val="00907C0C"/>
    <w:rsid w:val="00913DC3"/>
    <w:rsid w:val="0092204E"/>
    <w:rsid w:val="00933C13"/>
    <w:rsid w:val="00933D8B"/>
    <w:rsid w:val="009661E7"/>
    <w:rsid w:val="00966DC2"/>
    <w:rsid w:val="009765B7"/>
    <w:rsid w:val="00980CE7"/>
    <w:rsid w:val="009818CE"/>
    <w:rsid w:val="00986345"/>
    <w:rsid w:val="009D0B48"/>
    <w:rsid w:val="009F529E"/>
    <w:rsid w:val="00A07505"/>
    <w:rsid w:val="00A1730F"/>
    <w:rsid w:val="00A21C4C"/>
    <w:rsid w:val="00A23483"/>
    <w:rsid w:val="00A37ED4"/>
    <w:rsid w:val="00A44799"/>
    <w:rsid w:val="00A638F8"/>
    <w:rsid w:val="00A81DA9"/>
    <w:rsid w:val="00A94F5C"/>
    <w:rsid w:val="00AD1D34"/>
    <w:rsid w:val="00AD4CF5"/>
    <w:rsid w:val="00B07FD0"/>
    <w:rsid w:val="00B12AC0"/>
    <w:rsid w:val="00B1612A"/>
    <w:rsid w:val="00B23293"/>
    <w:rsid w:val="00B25B95"/>
    <w:rsid w:val="00B35DF8"/>
    <w:rsid w:val="00B403D6"/>
    <w:rsid w:val="00B55016"/>
    <w:rsid w:val="00B55FB2"/>
    <w:rsid w:val="00B6041E"/>
    <w:rsid w:val="00B6760D"/>
    <w:rsid w:val="00B73317"/>
    <w:rsid w:val="00BB587D"/>
    <w:rsid w:val="00BB6907"/>
    <w:rsid w:val="00BF44D6"/>
    <w:rsid w:val="00C120A7"/>
    <w:rsid w:val="00C14C94"/>
    <w:rsid w:val="00C1595F"/>
    <w:rsid w:val="00C17984"/>
    <w:rsid w:val="00C216C5"/>
    <w:rsid w:val="00C31BBE"/>
    <w:rsid w:val="00C514BA"/>
    <w:rsid w:val="00C55E37"/>
    <w:rsid w:val="00C6735C"/>
    <w:rsid w:val="00C854B2"/>
    <w:rsid w:val="00CA3D3C"/>
    <w:rsid w:val="00CD2E50"/>
    <w:rsid w:val="00CD578E"/>
    <w:rsid w:val="00CE6F9F"/>
    <w:rsid w:val="00D03FAA"/>
    <w:rsid w:val="00D135D9"/>
    <w:rsid w:val="00D15798"/>
    <w:rsid w:val="00D22610"/>
    <w:rsid w:val="00D3234F"/>
    <w:rsid w:val="00D3755B"/>
    <w:rsid w:val="00D6277C"/>
    <w:rsid w:val="00D76618"/>
    <w:rsid w:val="00DB4906"/>
    <w:rsid w:val="00DC4536"/>
    <w:rsid w:val="00E0409E"/>
    <w:rsid w:val="00E05490"/>
    <w:rsid w:val="00E10F47"/>
    <w:rsid w:val="00E24193"/>
    <w:rsid w:val="00E51FAB"/>
    <w:rsid w:val="00E54D02"/>
    <w:rsid w:val="00E54DB8"/>
    <w:rsid w:val="00E55F3F"/>
    <w:rsid w:val="00E834C8"/>
    <w:rsid w:val="00E96942"/>
    <w:rsid w:val="00EA57FD"/>
    <w:rsid w:val="00EA5949"/>
    <w:rsid w:val="00EC0E8B"/>
    <w:rsid w:val="00EC2552"/>
    <w:rsid w:val="00EE4F9A"/>
    <w:rsid w:val="00EF5330"/>
    <w:rsid w:val="00F039CA"/>
    <w:rsid w:val="00F15B17"/>
    <w:rsid w:val="00F20DD3"/>
    <w:rsid w:val="00F22623"/>
    <w:rsid w:val="00F250B9"/>
    <w:rsid w:val="00F41DB2"/>
    <w:rsid w:val="00F4778F"/>
    <w:rsid w:val="00F51E06"/>
    <w:rsid w:val="00F534F9"/>
    <w:rsid w:val="00F56F16"/>
    <w:rsid w:val="00F637FE"/>
    <w:rsid w:val="00F87599"/>
    <w:rsid w:val="00F97CE2"/>
    <w:rsid w:val="00FA4A4F"/>
    <w:rsid w:val="00FA6D10"/>
    <w:rsid w:val="00FC0351"/>
    <w:rsid w:val="00FC30D8"/>
    <w:rsid w:val="00FD09A0"/>
    <w:rsid w:val="00FE09FA"/>
    <w:rsid w:val="00FE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14E63DF"/>
  <w15:chartTrackingRefBased/>
  <w15:docId w15:val="{09EB9107-3D76-449B-BC26-A92EC14B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7C"/>
    <w:rPr>
      <w:rFonts w:ascii="Arial" w:hAnsi="Arial"/>
      <w:sz w:val="24"/>
    </w:rPr>
  </w:style>
  <w:style w:type="paragraph" w:styleId="Heading1">
    <w:name w:val="heading 1"/>
    <w:basedOn w:val="Normal"/>
    <w:next w:val="Normal"/>
    <w:link w:val="Heading1Char"/>
    <w:uiPriority w:val="9"/>
    <w:qFormat/>
    <w:rsid w:val="000A5BDE"/>
    <w:pPr>
      <w:spacing w:after="240"/>
      <w:outlineLvl w:val="0"/>
    </w:pPr>
    <w:rPr>
      <w:rFonts w:cs="Arial"/>
      <w:b/>
      <w:szCs w:val="24"/>
    </w:rPr>
  </w:style>
  <w:style w:type="paragraph" w:styleId="Heading2">
    <w:name w:val="heading 2"/>
    <w:basedOn w:val="NoSpacing"/>
    <w:next w:val="Normal"/>
    <w:link w:val="Heading2Char"/>
    <w:uiPriority w:val="9"/>
    <w:unhideWhenUsed/>
    <w:qFormat/>
    <w:rsid w:val="006F30E4"/>
    <w:pPr>
      <w:spacing w:before="480" w:after="120"/>
      <w:outlineLvl w:val="1"/>
    </w:pPr>
    <w:rPr>
      <w:rFonts w:ascii="Arial" w:hAnsi="Arial" w:cs="Arial"/>
      <w:b/>
      <w:sz w:val="24"/>
      <w:szCs w:val="24"/>
    </w:rPr>
  </w:style>
  <w:style w:type="paragraph" w:styleId="Heading3">
    <w:name w:val="heading 3"/>
    <w:basedOn w:val="Heading2"/>
    <w:next w:val="Normal"/>
    <w:link w:val="Heading3Char"/>
    <w:uiPriority w:val="9"/>
    <w:unhideWhenUsed/>
    <w:qFormat/>
    <w:rsid w:val="00460A3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617A2"/>
    <w:pPr>
      <w:overflowPunct w:val="0"/>
      <w:autoSpaceDE w:val="0"/>
      <w:autoSpaceDN w:val="0"/>
      <w:adjustRightInd w:val="0"/>
      <w:spacing w:line="240" w:lineRule="auto"/>
      <w:textAlignment w:val="baseline"/>
    </w:pPr>
    <w:rPr>
      <w:rFonts w:eastAsia="Times New Roman" w:cs="Times New Roman"/>
      <w:szCs w:val="20"/>
    </w:rPr>
  </w:style>
  <w:style w:type="character" w:customStyle="1" w:styleId="BodyTextChar">
    <w:name w:val="Body Text Char"/>
    <w:basedOn w:val="DefaultParagraphFont"/>
    <w:link w:val="BodyText"/>
    <w:semiHidden/>
    <w:rsid w:val="005617A2"/>
    <w:rPr>
      <w:rFonts w:ascii="Arial" w:eastAsia="Times New Roman" w:hAnsi="Arial" w:cs="Times New Roman"/>
      <w:sz w:val="24"/>
      <w:szCs w:val="20"/>
    </w:rPr>
  </w:style>
  <w:style w:type="paragraph" w:styleId="MessageHeader">
    <w:name w:val="Message Header"/>
    <w:basedOn w:val="BodyText"/>
    <w:link w:val="MessageHeaderChar"/>
    <w:semiHidden/>
    <w:rsid w:val="005617A2"/>
    <w:pPr>
      <w:keepLines/>
      <w:tabs>
        <w:tab w:val="left" w:pos="3600"/>
        <w:tab w:val="left" w:pos="4680"/>
      </w:tabs>
      <w:spacing w:after="240"/>
      <w:ind w:left="1080" w:right="2880" w:hanging="1080"/>
    </w:pPr>
  </w:style>
  <w:style w:type="character" w:customStyle="1" w:styleId="MessageHeaderChar">
    <w:name w:val="Message Header Char"/>
    <w:basedOn w:val="DefaultParagraphFont"/>
    <w:link w:val="MessageHeader"/>
    <w:semiHidden/>
    <w:rsid w:val="005617A2"/>
    <w:rPr>
      <w:rFonts w:ascii="Arial" w:eastAsia="Times New Roman" w:hAnsi="Arial" w:cs="Times New Roman"/>
      <w:sz w:val="24"/>
      <w:szCs w:val="20"/>
    </w:rPr>
  </w:style>
  <w:style w:type="paragraph" w:styleId="Footer">
    <w:name w:val="footer"/>
    <w:basedOn w:val="Normal"/>
    <w:link w:val="FooterChar"/>
    <w:uiPriority w:val="99"/>
    <w:rsid w:val="005617A2"/>
    <w:pPr>
      <w:keepLines/>
      <w:tabs>
        <w:tab w:val="center" w:pos="4320"/>
        <w:tab w:val="right" w:pos="8640"/>
      </w:tabs>
      <w:overflowPunct w:val="0"/>
      <w:autoSpaceDE w:val="0"/>
      <w:autoSpaceDN w:val="0"/>
      <w:adjustRightInd w:val="0"/>
      <w:spacing w:after="0" w:line="240" w:lineRule="auto"/>
      <w:textAlignment w:val="baseline"/>
    </w:pPr>
    <w:rPr>
      <w:rFonts w:eastAsia="Times New Roman" w:cs="Times New Roman"/>
      <w:szCs w:val="20"/>
    </w:rPr>
  </w:style>
  <w:style w:type="character" w:customStyle="1" w:styleId="FooterChar">
    <w:name w:val="Footer Char"/>
    <w:basedOn w:val="DefaultParagraphFont"/>
    <w:link w:val="Footer"/>
    <w:uiPriority w:val="99"/>
    <w:rsid w:val="005617A2"/>
    <w:rPr>
      <w:rFonts w:ascii="Arial" w:eastAsia="Times New Roman" w:hAnsi="Arial" w:cs="Times New Roman"/>
      <w:sz w:val="24"/>
      <w:szCs w:val="20"/>
    </w:rPr>
  </w:style>
  <w:style w:type="paragraph" w:customStyle="1" w:styleId="DocumentLabel">
    <w:name w:val="Document Label"/>
    <w:basedOn w:val="Normal"/>
    <w:rsid w:val="005617A2"/>
    <w:pPr>
      <w:keepNext/>
      <w:keepLines/>
      <w:overflowPunct w:val="0"/>
      <w:autoSpaceDE w:val="0"/>
      <w:autoSpaceDN w:val="0"/>
      <w:adjustRightInd w:val="0"/>
      <w:spacing w:before="240" w:after="360" w:line="240" w:lineRule="auto"/>
      <w:textAlignment w:val="baseline"/>
    </w:pPr>
    <w:rPr>
      <w:rFonts w:ascii="Times New Roman" w:eastAsia="Times New Roman" w:hAnsi="Times New Roman" w:cs="Times New Roman"/>
      <w:b/>
      <w:kern w:val="28"/>
      <w:sz w:val="36"/>
      <w:szCs w:val="20"/>
    </w:rPr>
  </w:style>
  <w:style w:type="character" w:customStyle="1" w:styleId="MessageHeaderLabel">
    <w:name w:val="Message Header Label"/>
    <w:rsid w:val="005617A2"/>
    <w:rPr>
      <w:rFonts w:ascii="Arial" w:hAnsi="Arial"/>
      <w:b/>
      <w:caps/>
      <w:sz w:val="18"/>
    </w:rPr>
  </w:style>
  <w:style w:type="paragraph" w:customStyle="1" w:styleId="MessageHeaderFirst">
    <w:name w:val="Message Header First"/>
    <w:basedOn w:val="MessageHeader"/>
    <w:next w:val="MessageHeader"/>
    <w:rsid w:val="005617A2"/>
    <w:pPr>
      <w:spacing w:before="120"/>
    </w:pPr>
  </w:style>
  <w:style w:type="paragraph" w:styleId="ListParagraph">
    <w:name w:val="List Paragraph"/>
    <w:basedOn w:val="Normal"/>
    <w:uiPriority w:val="34"/>
    <w:qFormat/>
    <w:rsid w:val="005617A2"/>
    <w:pPr>
      <w:spacing w:after="200" w:line="276" w:lineRule="auto"/>
      <w:ind w:left="720"/>
      <w:contextualSpacing/>
    </w:pPr>
    <w:rPr>
      <w:rFonts w:eastAsia="Calibri" w:cs="Arial"/>
      <w:bCs/>
      <w:szCs w:val="24"/>
    </w:rPr>
  </w:style>
  <w:style w:type="paragraph" w:styleId="Header">
    <w:name w:val="header"/>
    <w:basedOn w:val="Normal"/>
    <w:link w:val="HeaderChar"/>
    <w:uiPriority w:val="99"/>
    <w:unhideWhenUsed/>
    <w:rsid w:val="005617A2"/>
    <w:pPr>
      <w:tabs>
        <w:tab w:val="center" w:pos="4680"/>
        <w:tab w:val="right" w:pos="9360"/>
      </w:tabs>
      <w:spacing w:after="0" w:line="240" w:lineRule="auto"/>
    </w:pPr>
    <w:rPr>
      <w:rFonts w:asciiTheme="minorHAnsi" w:hAnsiTheme="minorHAnsi"/>
      <w:sz w:val="32"/>
    </w:rPr>
  </w:style>
  <w:style w:type="character" w:customStyle="1" w:styleId="HeaderChar">
    <w:name w:val="Header Char"/>
    <w:basedOn w:val="DefaultParagraphFont"/>
    <w:link w:val="Header"/>
    <w:uiPriority w:val="99"/>
    <w:rsid w:val="005617A2"/>
  </w:style>
  <w:style w:type="paragraph" w:styleId="NoSpacing">
    <w:name w:val="No Spacing"/>
    <w:uiPriority w:val="1"/>
    <w:qFormat/>
    <w:rsid w:val="00D76618"/>
    <w:pPr>
      <w:spacing w:after="0" w:line="240" w:lineRule="auto"/>
    </w:pPr>
  </w:style>
  <w:style w:type="paragraph" w:styleId="BalloonText">
    <w:name w:val="Balloon Text"/>
    <w:basedOn w:val="Normal"/>
    <w:link w:val="BalloonTextChar"/>
    <w:uiPriority w:val="99"/>
    <w:semiHidden/>
    <w:unhideWhenUsed/>
    <w:rsid w:val="00485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4E"/>
    <w:rPr>
      <w:rFonts w:ascii="Segoe UI" w:hAnsi="Segoe UI" w:cs="Segoe UI"/>
      <w:sz w:val="18"/>
      <w:szCs w:val="18"/>
    </w:rPr>
  </w:style>
  <w:style w:type="character" w:customStyle="1" w:styleId="Heading2Char">
    <w:name w:val="Heading 2 Char"/>
    <w:basedOn w:val="DefaultParagraphFont"/>
    <w:link w:val="Heading2"/>
    <w:uiPriority w:val="9"/>
    <w:rsid w:val="006F30E4"/>
    <w:rPr>
      <w:rFonts w:ascii="Arial" w:hAnsi="Arial" w:cs="Arial"/>
      <w:b/>
      <w:sz w:val="24"/>
      <w:szCs w:val="24"/>
    </w:rPr>
  </w:style>
  <w:style w:type="character" w:customStyle="1" w:styleId="Heading1Char">
    <w:name w:val="Heading 1 Char"/>
    <w:basedOn w:val="DefaultParagraphFont"/>
    <w:link w:val="Heading1"/>
    <w:uiPriority w:val="9"/>
    <w:rsid w:val="000A5BDE"/>
    <w:rPr>
      <w:rFonts w:ascii="Arial" w:hAnsi="Arial" w:cs="Arial"/>
      <w:b/>
      <w:sz w:val="24"/>
      <w:szCs w:val="24"/>
    </w:rPr>
  </w:style>
  <w:style w:type="character" w:customStyle="1" w:styleId="Heading3Char">
    <w:name w:val="Heading 3 Char"/>
    <w:basedOn w:val="DefaultParagraphFont"/>
    <w:link w:val="Heading3"/>
    <w:uiPriority w:val="9"/>
    <w:rsid w:val="00460A36"/>
    <w:rPr>
      <w:rFonts w:ascii="Arial" w:hAnsi="Arial" w:cs="Arial"/>
      <w:b/>
      <w:sz w:val="24"/>
      <w:szCs w:val="24"/>
    </w:rPr>
  </w:style>
  <w:style w:type="table" w:styleId="TableGrid">
    <w:name w:val="Table Grid"/>
    <w:basedOn w:val="TableNormal"/>
    <w:uiPriority w:val="39"/>
    <w:rsid w:val="00A1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702D9A"/>
    <w:pPr>
      <w:framePr w:w="7920" w:h="1980" w:hRule="exact" w:hSpace="180" w:wrap="auto" w:hAnchor="page" w:xAlign="center" w:yAlign="bottom"/>
      <w:spacing w:after="0" w:line="240" w:lineRule="auto"/>
      <w:ind w:left="2880"/>
      <w:jc w:val="both"/>
    </w:pPr>
    <w:rPr>
      <w:rFonts w:eastAsia="Times New Roman" w:cs="Times New Roman"/>
      <w:szCs w:val="24"/>
    </w:rPr>
  </w:style>
  <w:style w:type="paragraph" w:styleId="Revision">
    <w:name w:val="Revision"/>
    <w:hidden/>
    <w:uiPriority w:val="99"/>
    <w:semiHidden/>
    <w:rsid w:val="00305AAA"/>
    <w:pPr>
      <w:spacing w:after="0" w:line="240" w:lineRule="auto"/>
    </w:pPr>
    <w:rPr>
      <w:rFonts w:ascii="Arial" w:hAnsi="Arial"/>
      <w:sz w:val="24"/>
    </w:rPr>
  </w:style>
  <w:style w:type="table" w:styleId="PlainTable4">
    <w:name w:val="Plain Table 4"/>
    <w:basedOn w:val="TableNormal"/>
    <w:uiPriority w:val="44"/>
    <w:rsid w:val="001F4F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5A3247"/>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5A3247"/>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4094">
      <w:bodyDiv w:val="1"/>
      <w:marLeft w:val="0"/>
      <w:marRight w:val="0"/>
      <w:marTop w:val="0"/>
      <w:marBottom w:val="0"/>
      <w:divBdr>
        <w:top w:val="none" w:sz="0" w:space="0" w:color="auto"/>
        <w:left w:val="none" w:sz="0" w:space="0" w:color="auto"/>
        <w:bottom w:val="none" w:sz="0" w:space="0" w:color="auto"/>
        <w:right w:val="none" w:sz="0" w:space="0" w:color="auto"/>
      </w:divBdr>
    </w:div>
    <w:div w:id="999387948">
      <w:bodyDiv w:val="1"/>
      <w:marLeft w:val="0"/>
      <w:marRight w:val="0"/>
      <w:marTop w:val="0"/>
      <w:marBottom w:val="0"/>
      <w:divBdr>
        <w:top w:val="none" w:sz="0" w:space="0" w:color="auto"/>
        <w:left w:val="none" w:sz="0" w:space="0" w:color="auto"/>
        <w:bottom w:val="none" w:sz="0" w:space="0" w:color="auto"/>
        <w:right w:val="none" w:sz="0" w:space="0" w:color="auto"/>
      </w:divBdr>
    </w:div>
    <w:div w:id="1470248075">
      <w:bodyDiv w:val="1"/>
      <w:marLeft w:val="0"/>
      <w:marRight w:val="0"/>
      <w:marTop w:val="0"/>
      <w:marBottom w:val="0"/>
      <w:divBdr>
        <w:top w:val="none" w:sz="0" w:space="0" w:color="auto"/>
        <w:left w:val="none" w:sz="0" w:space="0" w:color="auto"/>
        <w:bottom w:val="none" w:sz="0" w:space="0" w:color="auto"/>
        <w:right w:val="none" w:sz="0" w:space="0" w:color="auto"/>
      </w:divBdr>
    </w:div>
    <w:div w:id="1713964283">
      <w:bodyDiv w:val="1"/>
      <w:marLeft w:val="0"/>
      <w:marRight w:val="0"/>
      <w:marTop w:val="0"/>
      <w:marBottom w:val="0"/>
      <w:divBdr>
        <w:top w:val="none" w:sz="0" w:space="0" w:color="auto"/>
        <w:left w:val="none" w:sz="0" w:space="0" w:color="auto"/>
        <w:bottom w:val="none" w:sz="0" w:space="0" w:color="auto"/>
        <w:right w:val="none" w:sz="0" w:space="0" w:color="auto"/>
      </w:divBdr>
    </w:div>
    <w:div w:id="199363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850ad5-c428-4137-bc64-4d248b080b3d">
      <Terms xmlns="http://schemas.microsoft.com/office/infopath/2007/PartnerControls"/>
    </lcf76f155ced4ddcb4097134ff3c332f>
    <TaxCatchAll xmlns="b470c8ac-edca-4cf5-a967-95d53433d6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477A07854633489EE3A190543F6CE5" ma:contentTypeVersion="18" ma:contentTypeDescription="Create a new document." ma:contentTypeScope="" ma:versionID="df5d04c3b61aec59b30c80b5689af048">
  <xsd:schema xmlns:xsd="http://www.w3.org/2001/XMLSchema" xmlns:xs="http://www.w3.org/2001/XMLSchema" xmlns:p="http://schemas.microsoft.com/office/2006/metadata/properties" xmlns:ns2="6d850ad5-c428-4137-bc64-4d248b080b3d" xmlns:ns3="b470c8ac-edca-4cf5-a967-95d53433d676" targetNamespace="http://schemas.microsoft.com/office/2006/metadata/properties" ma:root="true" ma:fieldsID="3087c69e5f939c5be175bb94b27f7a76" ns2:_="" ns3:_="">
    <xsd:import namespace="6d850ad5-c428-4137-bc64-4d248b080b3d"/>
    <xsd:import namespace="b470c8ac-edca-4cf5-a967-95d53433d6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50ad5-c428-4137-bc64-4d248b080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46d39-3500-4ce9-8b72-6aeff2bdd8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70c8ac-edca-4cf5-a967-95d53433d6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54d4de-5e92-4f07-8cb1-416871fa5cb0}" ma:internalName="TaxCatchAll" ma:showField="CatchAllData" ma:web="b470c8ac-edca-4cf5-a967-95d53433d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6167D-3216-4293-A3E2-256A0F8C3D3A}">
  <ds:schemaRefs>
    <ds:schemaRef ds:uri="http://schemas.microsoft.com/sharepoint/v3/contenttype/forms"/>
  </ds:schemaRefs>
</ds:datastoreItem>
</file>

<file path=customXml/itemProps2.xml><?xml version="1.0" encoding="utf-8"?>
<ds:datastoreItem xmlns:ds="http://schemas.openxmlformats.org/officeDocument/2006/customXml" ds:itemID="{23051586-3371-4BD8-A8FD-EDA856F3DD04}">
  <ds:schemaRefs>
    <ds:schemaRef ds:uri="http://schemas.microsoft.com/office/2006/metadata/properties"/>
    <ds:schemaRef ds:uri="http://schemas.microsoft.com/office/infopath/2007/PartnerControls"/>
    <ds:schemaRef ds:uri="6d850ad5-c428-4137-bc64-4d248b080b3d"/>
    <ds:schemaRef ds:uri="b470c8ac-edca-4cf5-a967-95d53433d676"/>
  </ds:schemaRefs>
</ds:datastoreItem>
</file>

<file path=customXml/itemProps3.xml><?xml version="1.0" encoding="utf-8"?>
<ds:datastoreItem xmlns:ds="http://schemas.openxmlformats.org/officeDocument/2006/customXml" ds:itemID="{CE4A703E-FD25-4639-AE8C-7B6E7F48F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50ad5-c428-4137-bc64-4d248b080b3d"/>
    <ds:schemaRef ds:uri="b470c8ac-edca-4cf5-a967-95d53433d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Town of Longboat Key Memorandum</vt:lpstr>
    </vt:vector>
  </TitlesOfParts>
  <Manager/>
  <Company/>
  <LinksUpToDate>false</LinksUpToDate>
  <CharactersWithSpaces>8701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Longboat Key Memorandum</dc:title>
  <dc:subject/>
  <dc:creator>Town of Longboat Key</dc:creator>
  <cp:keywords/>
  <dc:description/>
  <cp:lastModifiedBy>Susan L. Smith</cp:lastModifiedBy>
  <cp:revision>3</cp:revision>
  <cp:lastPrinted>2023-10-26T18:47:00Z</cp:lastPrinted>
  <dcterms:created xsi:type="dcterms:W3CDTF">2024-11-21T00:14:00Z</dcterms:created>
  <dcterms:modified xsi:type="dcterms:W3CDTF">2024-11-21T00:20:00Z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0x0101005D477A07854633489EE3A190543F6CE5</vt:lpwstr>
  </property>
</Properties>
</file>